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Pr>
          <w:rFonts w:ascii="Arial" w:eastAsia="Times New Roman" w:hAnsi="Arial" w:cs="Arial"/>
          <w:b/>
          <w:bCs/>
          <w:noProof/>
          <w:color w:val="F04B09"/>
          <w:kern w:val="36"/>
          <w:sz w:val="21"/>
          <w:szCs w:val="21"/>
          <w:lang w:eastAsia="ru-RU"/>
        </w:rPr>
        <w:drawing>
          <wp:inline distT="0" distB="0" distL="0" distR="0">
            <wp:extent cx="95250" cy="95250"/>
            <wp:effectExtent l="19050" t="0" r="0" b="0"/>
            <wp:docPr id="1" name="Рисунок 1" descr="http://ozpp.ru/images/ozpp/b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pp.ru/images/ozpp/b_orange.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12B74">
        <w:rPr>
          <w:rFonts w:ascii="Arial" w:eastAsia="Times New Roman" w:hAnsi="Arial" w:cs="Arial"/>
          <w:b/>
          <w:bCs/>
          <w:color w:val="F04B09"/>
          <w:kern w:val="36"/>
          <w:sz w:val="21"/>
          <w:szCs w:val="21"/>
          <w:lang w:eastAsia="ru-RU"/>
        </w:rPr>
        <w:t>   СНИП 31-01-2003. Здания жилые многоквартирные</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Система нормативных документов в строительстве</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СТРОИТЕЛЬНЫЕ НОРМЫ И ПРАВИЛА РОССИЙСКОЙ ФЕДЕРАЦИИ</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ЗДАНИЯ ЖИЛЫЕ МНОГОКВАРТИРНЫЕ</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СНиП 31-01-2003</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ГОСУДАРСТВЕННЫЙ КОМИТЕТ РОССИЙСКОЙ ФЕДЕРАЦИИ ПО СТРОИТЕЛЬСТВУ И ЖИЛИЩНО-КОММУНАЛЬНОМУ КОМПЛЕКСУ (ГОССТРОЙ РОССИИ)</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Москва</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2004</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ПРЕДИСЛОВИЕ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 РАЗРАБОТАНЫ Федеральным государственным унитарным предприятием - Центром методологии нормирования и стандартизации в строительстве (ФГУП ЦНС), ОАО «ЦНИИЭПжилища», МНИИТЭП, НИИ экологии человека и гигиены окружающей среды им. А.А. Сысина с участием коллектива специалистов ведущих научно-исследовательских и проектных организаций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ВНЕСЕНЫ Управлением технического нормирования, стандартизации и сертификации в строительстве и ЖКХ Госстроя России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 ПРИНЯТЫ И ВВЕДЕНЫ В ДЕЙСТВИЕ с 1 октября 2003 г. постановлением Госстроя России от 23.06.2003 г. № 109</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 ВЗАМЕН СНиП 2.08.01-89*</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СОДЕРЖАНИЕ</w:t>
      </w:r>
    </w:p>
    <w:tbl>
      <w:tblPr>
        <w:tblW w:w="0" w:type="auto"/>
        <w:jc w:val="center"/>
        <w:tblCellSpacing w:w="0" w:type="dxa"/>
        <w:tblCellMar>
          <w:left w:w="0" w:type="dxa"/>
          <w:right w:w="0" w:type="dxa"/>
        </w:tblCellMar>
        <w:tblLook w:val="04A0"/>
      </w:tblPr>
      <w:tblGrid>
        <w:gridCol w:w="9290"/>
      </w:tblGrid>
      <w:tr w:rsidR="00E12B74" w:rsidRPr="00E12B74" w:rsidTr="00E12B74">
        <w:trPr>
          <w:tblCellSpacing w:w="0" w:type="dxa"/>
          <w:jc w:val="center"/>
        </w:trPr>
        <w:tc>
          <w:tcPr>
            <w:tcW w:w="9290" w:type="dxa"/>
            <w:tcBorders>
              <w:top w:val="nil"/>
              <w:left w:val="nil"/>
              <w:bottom w:val="nil"/>
              <w:right w:val="nil"/>
            </w:tcBorders>
            <w:tcMar>
              <w:top w:w="0" w:type="dxa"/>
              <w:left w:w="108" w:type="dxa"/>
              <w:bottom w:w="0" w:type="dxa"/>
              <w:right w:w="10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Введение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1 область применения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2 нормативные ссылки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3 термины и определения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4 общие положения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5 требования к помещениям квартир</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6 несущая способность и деформативность конструкций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7 пожарная безопасность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7.1 предотвращение распространения пожара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7.2 обеспечение эвакуации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7.3 противопожарные требования к инженерным системам и оборудованию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7.4 обеспечение тушения пожара и спасательных работ</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8 безопасность при пользовании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9 обеспечение санитарно-эпидемиологических требований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10 долговечность и ремонтопригодность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11 энергосбережение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Приложение а Нормативные ссылки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Приложение б Термины и определения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Приложение в Правила определения площади помещений, площади застройки и этажности здания при проектировании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Приложение г Минимальное число пассажирских лифтов</w:t>
            </w:r>
          </w:p>
        </w:tc>
      </w:tr>
    </w:tbl>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ВВЕДЕНИЕ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разделах 4</w:t>
      </w:r>
      <w:r w:rsidRPr="00E12B74">
        <w:rPr>
          <w:rFonts w:ascii="Arial" w:eastAsia="Times New Roman" w:hAnsi="Arial" w:cs="Arial"/>
          <w:color w:val="5A5A5A"/>
          <w:sz w:val="18"/>
          <w:szCs w:val="18"/>
          <w:lang w:eastAsia="ru-RU"/>
        </w:rPr>
        <w:t>, 6 - 10 настоящих норм приведены требования, соответствующие целям технических регламентов и подлежащие обязательному соблюдению с учетом части 1 статьи 46 Федерального закона «О техническом регулировании».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Многоквартирные жилые дома, начатые строительством по проектной документации, разработанной и утвержденной до 1 января 2004 г., могут строиться и вводиться в эксплуатацию без корректировки проектной документации в соответствии с требованиями настоящих норм и правил.</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Работа выполнена авторским коллективом: ФГУП ЦНС (кандидаты техн. наук</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С.Н. Нерсесов, Л.С. Экслер</w:t>
      </w:r>
      <w:r w:rsidRPr="00E12B74">
        <w:rPr>
          <w:rFonts w:ascii="Times" w:eastAsia="Times New Roman" w:hAnsi="Times" w:cs="Arial"/>
          <w:color w:val="5A5A5A"/>
          <w:sz w:val="18"/>
          <w:szCs w:val="18"/>
          <w:lang w:eastAsia="ru-RU"/>
        </w:rPr>
        <w:t>),</w:t>
      </w:r>
      <w:r w:rsidRPr="00E12B74">
        <w:rPr>
          <w:rFonts w:ascii="Times" w:eastAsia="Times New Roman" w:hAnsi="Times" w:cs="Arial"/>
          <w:i/>
          <w:iCs/>
          <w:color w:val="5A5A5A"/>
          <w:sz w:val="18"/>
          <w:lang w:eastAsia="ru-RU"/>
        </w:rPr>
        <w:t> </w:t>
      </w:r>
      <w:r w:rsidRPr="00E12B74">
        <w:rPr>
          <w:rFonts w:ascii="Times" w:eastAsia="Times New Roman" w:hAnsi="Times" w:cs="Arial"/>
          <w:color w:val="5A5A5A"/>
          <w:sz w:val="18"/>
          <w:szCs w:val="18"/>
          <w:lang w:eastAsia="ru-RU"/>
        </w:rPr>
        <w:t>ФЦС Госстроя России (канд. архит.</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Л.А. Викторова; Н.Н. Поляков</w:t>
      </w:r>
      <w:r w:rsidRPr="00E12B74">
        <w:rPr>
          <w:rFonts w:ascii="Times" w:eastAsia="Times New Roman" w:hAnsi="Times" w:cs="Arial"/>
          <w:color w:val="5A5A5A"/>
          <w:sz w:val="18"/>
          <w:szCs w:val="18"/>
          <w:lang w:eastAsia="ru-RU"/>
        </w:rPr>
        <w:t>);</w:t>
      </w:r>
      <w:r w:rsidRPr="00E12B74">
        <w:rPr>
          <w:rFonts w:ascii="Times" w:eastAsia="Times New Roman" w:hAnsi="Times" w:cs="Arial"/>
          <w:i/>
          <w:iCs/>
          <w:color w:val="5A5A5A"/>
          <w:sz w:val="18"/>
          <w:lang w:eastAsia="ru-RU"/>
        </w:rPr>
        <w:t> </w:t>
      </w:r>
      <w:r w:rsidRPr="00E12B74">
        <w:rPr>
          <w:rFonts w:ascii="Times" w:eastAsia="Times New Roman" w:hAnsi="Times" w:cs="Arial"/>
          <w:color w:val="5A5A5A"/>
          <w:sz w:val="18"/>
          <w:szCs w:val="18"/>
          <w:lang w:eastAsia="ru-RU"/>
        </w:rPr>
        <w:t>ОАО «ЦНИИЭПжилища» (д-р техн. наук</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Ю.Г. Граник</w:t>
      </w:r>
      <w:r w:rsidRPr="00E12B74">
        <w:rPr>
          <w:rFonts w:ascii="Times" w:eastAsia="Times New Roman" w:hAnsi="Times" w:cs="Arial"/>
          <w:color w:val="5A5A5A"/>
          <w:sz w:val="18"/>
          <w:szCs w:val="18"/>
          <w:lang w:eastAsia="ru-RU"/>
        </w:rPr>
        <w:t>); МНИИТЭП (кандидаты архит.</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С.И. Яхкинд, И.С. Генкина, Л.В. Петрова, </w:t>
      </w:r>
      <w:r w:rsidRPr="00E12B74">
        <w:rPr>
          <w:rFonts w:ascii="Times" w:eastAsia="Times New Roman" w:hAnsi="Times" w:cs="Arial"/>
          <w:color w:val="5A5A5A"/>
          <w:sz w:val="18"/>
          <w:szCs w:val="18"/>
          <w:lang w:eastAsia="ru-RU"/>
        </w:rPr>
        <w:t>канд. геогр. Наук</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Л.И. Конова, </w:t>
      </w:r>
      <w:r w:rsidRPr="00E12B74">
        <w:rPr>
          <w:rFonts w:ascii="Times" w:eastAsia="Times New Roman" w:hAnsi="Times" w:cs="Arial"/>
          <w:color w:val="5A5A5A"/>
          <w:sz w:val="18"/>
          <w:szCs w:val="18"/>
          <w:lang w:eastAsia="ru-RU"/>
        </w:rPr>
        <w:t>инж</w:t>
      </w:r>
      <w:r w:rsidRPr="00E12B74">
        <w:rPr>
          <w:rFonts w:ascii="Times" w:eastAsia="Times New Roman" w:hAnsi="Times" w:cs="Arial"/>
          <w:i/>
          <w:iCs/>
          <w:color w:val="5A5A5A"/>
          <w:sz w:val="18"/>
          <w:lang w:eastAsia="ru-RU"/>
        </w:rPr>
        <w:t>. В.И. Лаговер</w:t>
      </w:r>
      <w:r w:rsidRPr="00E12B74">
        <w:rPr>
          <w:rFonts w:ascii="Times" w:eastAsia="Times New Roman" w:hAnsi="Times" w:cs="Arial"/>
          <w:color w:val="5A5A5A"/>
          <w:sz w:val="18"/>
          <w:szCs w:val="18"/>
          <w:lang w:eastAsia="ru-RU"/>
        </w:rPr>
        <w:t>),</w:t>
      </w:r>
      <w:r w:rsidRPr="00E12B74">
        <w:rPr>
          <w:rFonts w:ascii="Times" w:eastAsia="Times New Roman" w:hAnsi="Times" w:cs="Arial"/>
          <w:i/>
          <w:iCs/>
          <w:color w:val="5A5A5A"/>
          <w:sz w:val="18"/>
          <w:lang w:eastAsia="ru-RU"/>
        </w:rPr>
        <w:t> </w:t>
      </w:r>
      <w:r w:rsidRPr="00E12B74">
        <w:rPr>
          <w:rFonts w:ascii="Times" w:eastAsia="Times New Roman" w:hAnsi="Times" w:cs="Arial"/>
          <w:color w:val="5A5A5A"/>
          <w:sz w:val="18"/>
          <w:szCs w:val="18"/>
          <w:lang w:eastAsia="ru-RU"/>
        </w:rPr>
        <w:t>НИИСФ РААСН (канд. техн. наук</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Ю.А. Матросов</w:t>
      </w:r>
      <w:r w:rsidRPr="00E12B74">
        <w:rPr>
          <w:rFonts w:ascii="Times" w:eastAsia="Times New Roman" w:hAnsi="Times" w:cs="Arial"/>
          <w:color w:val="5A5A5A"/>
          <w:sz w:val="18"/>
          <w:szCs w:val="18"/>
          <w:lang w:eastAsia="ru-RU"/>
        </w:rPr>
        <w:t>); УППиН Москомархитектуры (арх.</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А.П. Зобнин); </w:t>
      </w:r>
      <w:r w:rsidRPr="00E12B74">
        <w:rPr>
          <w:rFonts w:ascii="Times" w:eastAsia="Times New Roman" w:hAnsi="Times" w:cs="Arial"/>
          <w:color w:val="5A5A5A"/>
          <w:sz w:val="18"/>
          <w:szCs w:val="18"/>
          <w:lang w:eastAsia="ru-RU"/>
        </w:rPr>
        <w:t>НИИ экологии человека и гигиены окружающей среды им. А.А. Сысина (проф., д-р мед. наук</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Ю.Д. Губернский, </w:t>
      </w:r>
      <w:r w:rsidRPr="00E12B74">
        <w:rPr>
          <w:rFonts w:ascii="Times" w:eastAsia="Times New Roman" w:hAnsi="Times" w:cs="Arial"/>
          <w:color w:val="5A5A5A"/>
          <w:sz w:val="18"/>
          <w:szCs w:val="18"/>
          <w:lang w:eastAsia="ru-RU"/>
        </w:rPr>
        <w:t>канд. мед. наук</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Н.В. Калинина</w:t>
      </w:r>
      <w:r w:rsidRPr="00E12B74">
        <w:rPr>
          <w:rFonts w:ascii="Times" w:eastAsia="Times New Roman" w:hAnsi="Times" w:cs="Arial"/>
          <w:color w:val="5A5A5A"/>
          <w:sz w:val="18"/>
          <w:szCs w:val="18"/>
          <w:lang w:eastAsia="ru-RU"/>
        </w:rPr>
        <w:t>);</w:t>
      </w:r>
      <w:r w:rsidRPr="00E12B74">
        <w:rPr>
          <w:rFonts w:ascii="Times" w:eastAsia="Times New Roman" w:hAnsi="Times" w:cs="Arial"/>
          <w:i/>
          <w:iCs/>
          <w:color w:val="5A5A5A"/>
          <w:sz w:val="18"/>
          <w:lang w:eastAsia="ru-RU"/>
        </w:rPr>
        <w:t> </w:t>
      </w:r>
      <w:r w:rsidRPr="00E12B74">
        <w:rPr>
          <w:rFonts w:ascii="Times" w:eastAsia="Times New Roman" w:hAnsi="Times" w:cs="Arial"/>
          <w:color w:val="5A5A5A"/>
          <w:sz w:val="18"/>
          <w:szCs w:val="18"/>
          <w:lang w:eastAsia="ru-RU"/>
        </w:rPr>
        <w:t>ТК 209 «Лифты, строительные подъемники и эскалаторы» (</w:t>
      </w:r>
      <w:r w:rsidRPr="00E12B74">
        <w:rPr>
          <w:rFonts w:ascii="Times" w:eastAsia="Times New Roman" w:hAnsi="Times" w:cs="Arial"/>
          <w:i/>
          <w:iCs/>
          <w:color w:val="5A5A5A"/>
          <w:sz w:val="18"/>
          <w:lang w:eastAsia="ru-RU"/>
        </w:rPr>
        <w:t>С.М. Ройтбурд</w:t>
      </w:r>
      <w:r w:rsidRPr="00E12B74">
        <w:rPr>
          <w:rFonts w:ascii="Times" w:eastAsia="Times New Roman" w:hAnsi="Times" w:cs="Arial"/>
          <w:color w:val="5A5A5A"/>
          <w:sz w:val="18"/>
          <w:szCs w:val="18"/>
          <w:lang w:eastAsia="ru-RU"/>
        </w:rPr>
        <w:t>);</w:t>
      </w:r>
      <w:r w:rsidRPr="00E12B74">
        <w:rPr>
          <w:rFonts w:ascii="Times" w:eastAsia="Times New Roman" w:hAnsi="Times" w:cs="Arial"/>
          <w:i/>
          <w:iCs/>
          <w:color w:val="5A5A5A"/>
          <w:sz w:val="18"/>
          <w:lang w:eastAsia="ru-RU"/>
        </w:rPr>
        <w:t> </w:t>
      </w:r>
      <w:r w:rsidRPr="00E12B74">
        <w:rPr>
          <w:rFonts w:ascii="Times" w:eastAsia="Times New Roman" w:hAnsi="Times" w:cs="Arial"/>
          <w:color w:val="5A5A5A"/>
          <w:sz w:val="18"/>
          <w:szCs w:val="18"/>
          <w:lang w:eastAsia="ru-RU"/>
        </w:rPr>
        <w:t>Управление технормирования Госстроя России (</w:t>
      </w:r>
      <w:r w:rsidRPr="00E12B74">
        <w:rPr>
          <w:rFonts w:ascii="Times" w:eastAsia="Times New Roman" w:hAnsi="Times" w:cs="Arial"/>
          <w:i/>
          <w:iCs/>
          <w:color w:val="5A5A5A"/>
          <w:sz w:val="18"/>
          <w:lang w:eastAsia="ru-RU"/>
        </w:rPr>
        <w:t>В.А. Глухарев</w:t>
      </w:r>
      <w:r w:rsidRPr="00E12B74">
        <w:rPr>
          <w:rFonts w:ascii="Times" w:eastAsia="Times New Roman" w:hAnsi="Times" w:cs="Arial"/>
          <w:color w:val="5A5A5A"/>
          <w:sz w:val="18"/>
          <w:szCs w:val="18"/>
          <w:lang w:eastAsia="ru-RU"/>
        </w:rPr>
        <w:t>).</w:t>
      </w:r>
    </w:p>
    <w:p w:rsidR="00E12B74" w:rsidRPr="00E12B74" w:rsidRDefault="00E12B74" w:rsidP="00E12B74">
      <w:pPr>
        <w:spacing w:before="100" w:beforeAutospacing="1" w:after="100" w:afterAutospacing="1" w:line="240" w:lineRule="auto"/>
        <w:jc w:val="right"/>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СНиП 31-01-2003</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СТРОИТЕЛЬНЫЕ НОРМЫ И ПРАВИЛА РОССИЙСКОЙ ФЕДЕРАЦИИ</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val="en-US" w:eastAsia="ru-RU"/>
        </w:rPr>
      </w:pPr>
      <w:r w:rsidRPr="00E12B74">
        <w:rPr>
          <w:rFonts w:ascii="Times" w:eastAsia="Times New Roman" w:hAnsi="Times" w:cs="Arial"/>
          <w:b/>
          <w:bCs/>
          <w:color w:val="5A5A5A"/>
          <w:sz w:val="18"/>
          <w:lang w:eastAsia="ru-RU"/>
        </w:rPr>
        <w:t>ЗДАНИЯ</w:t>
      </w:r>
      <w:r w:rsidRPr="00E12B74">
        <w:rPr>
          <w:rFonts w:ascii="Times" w:eastAsia="Times New Roman" w:hAnsi="Times" w:cs="Arial"/>
          <w:b/>
          <w:bCs/>
          <w:color w:val="5A5A5A"/>
          <w:sz w:val="18"/>
          <w:lang w:val="en-US" w:eastAsia="ru-RU"/>
        </w:rPr>
        <w:t> </w:t>
      </w:r>
      <w:r w:rsidRPr="00E12B74">
        <w:rPr>
          <w:rFonts w:ascii="Times" w:eastAsia="Times New Roman" w:hAnsi="Times" w:cs="Arial"/>
          <w:b/>
          <w:bCs/>
          <w:color w:val="5A5A5A"/>
          <w:sz w:val="18"/>
          <w:lang w:eastAsia="ru-RU"/>
        </w:rPr>
        <w:t>ЖИЛЫЕ</w:t>
      </w:r>
      <w:r w:rsidRPr="00E12B74">
        <w:rPr>
          <w:rFonts w:ascii="Times" w:eastAsia="Times New Roman" w:hAnsi="Times" w:cs="Arial"/>
          <w:b/>
          <w:bCs/>
          <w:color w:val="5A5A5A"/>
          <w:sz w:val="18"/>
          <w:lang w:val="en-US" w:eastAsia="ru-RU"/>
        </w:rPr>
        <w:t> </w:t>
      </w:r>
      <w:r w:rsidRPr="00E12B74">
        <w:rPr>
          <w:rFonts w:ascii="Times" w:eastAsia="Times New Roman" w:hAnsi="Times" w:cs="Arial"/>
          <w:b/>
          <w:bCs/>
          <w:color w:val="5A5A5A"/>
          <w:sz w:val="18"/>
          <w:lang w:eastAsia="ru-RU"/>
        </w:rPr>
        <w:t>МНОГОКВАРТИРНЫЕ</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val="en-US" w:eastAsia="ru-RU"/>
        </w:rPr>
      </w:pPr>
      <w:r w:rsidRPr="00E12B74">
        <w:rPr>
          <w:rFonts w:ascii="Times" w:eastAsia="Times New Roman" w:hAnsi="Times" w:cs="Arial"/>
          <w:b/>
          <w:bCs/>
          <w:color w:val="5A5A5A"/>
          <w:sz w:val="18"/>
          <w:lang w:val="en-US" w:eastAsia="ru-RU"/>
        </w:rPr>
        <w:t>MULTICOMPARTMENT RESIDENTIAL BUILDINGS</w:t>
      </w:r>
    </w:p>
    <w:p w:rsidR="00E12B74" w:rsidRPr="00E12B74" w:rsidRDefault="00E12B74" w:rsidP="00E12B74">
      <w:pPr>
        <w:spacing w:before="100" w:beforeAutospacing="1" w:after="100" w:afterAutospacing="1" w:line="240" w:lineRule="auto"/>
        <w:jc w:val="right"/>
        <w:rPr>
          <w:rFonts w:ascii="Arial" w:eastAsia="Times New Roman" w:hAnsi="Arial" w:cs="Arial"/>
          <w:color w:val="5A5A5A"/>
          <w:sz w:val="18"/>
          <w:szCs w:val="18"/>
          <w:lang w:eastAsia="ru-RU"/>
        </w:rPr>
      </w:pPr>
      <w:r w:rsidRPr="00E12B74">
        <w:rPr>
          <w:rFonts w:ascii="Times" w:eastAsia="Times New Roman" w:hAnsi="Times" w:cs="Arial"/>
          <w:i/>
          <w:iCs/>
          <w:color w:val="5A5A5A"/>
          <w:sz w:val="18"/>
          <w:lang w:eastAsia="ru-RU"/>
        </w:rPr>
        <w:t>Дата введения 2003-10-01</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lastRenderedPageBreak/>
        <w:t>1 ОБЛАСТЬ ПРИМЕНЕНИЯ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1.1 </w:t>
      </w:r>
      <w:r w:rsidRPr="00E12B74">
        <w:rPr>
          <w:rFonts w:ascii="Times" w:eastAsia="Times New Roman" w:hAnsi="Times" w:cs="Arial"/>
          <w:color w:val="5A5A5A"/>
          <w:sz w:val="18"/>
          <w:szCs w:val="18"/>
          <w:lang w:eastAsia="ru-RU"/>
        </w:rPr>
        <w:t>Настоящие нормы и правила распространяются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со СНиП 21-01</w:t>
      </w:r>
      <w:r w:rsidRPr="00E12B74">
        <w:rPr>
          <w:rFonts w:ascii="Times" w:eastAsia="Times New Roman" w:hAnsi="Times" w:cs="Arial"/>
          <w:color w:val="5A5A5A"/>
          <w:sz w:val="18"/>
          <w:szCs w:val="18"/>
          <w:vertAlign w:val="superscript"/>
          <w:lang w:eastAsia="ru-RU"/>
        </w:rPr>
        <w:t>1</w:t>
      </w:r>
      <w:r w:rsidRPr="00E12B74">
        <w:rPr>
          <w:rFonts w:ascii="Times" w:eastAsia="Times New Roman" w:hAnsi="Times" w:cs="Arial"/>
          <w:color w:val="5A5A5A"/>
          <w:sz w:val="18"/>
          <w:szCs w:val="18"/>
          <w:lang w:eastAsia="ru-RU"/>
        </w:rPr>
        <w:t>), общежитий квартирного типа, а также жилых помещений, входящих в состав помещений зданий другого функционального назначения.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vertAlign w:val="superscript"/>
          <w:lang w:eastAsia="ru-RU"/>
        </w:rPr>
        <w:t>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Нормы и правила не распространяются: на блокированные жилые дома, проектируемые в соответствии с требованиями СНиП 31-02,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Нормы не регламентируют условия заселения здания и формы владения им, его квартир и отдельных помещений.</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2 НОРМАТИВНЫЕ ССЫЛКИ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Нормативные документы, на которые в тексте настоящих норм имеются ссылки, приведены в приложении А</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исключении из числа действующих нормативных документов, на которые в настоящих нормах имеются ссылки, следует руководствоваться нормами, введенными взамен исключенных.</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3 ТЕРМИНЫ И ОПРЕДЕЛЕНИЯ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данном документе использованы термины, определения которых приведены в приложении Б</w:t>
      </w:r>
      <w:r w:rsidRPr="00E12B74">
        <w:rPr>
          <w:rFonts w:ascii="Arial" w:eastAsia="Times New Roman" w:hAnsi="Arial" w:cs="Arial"/>
          <w:color w:val="5A5A5A"/>
          <w:sz w:val="18"/>
          <w:szCs w:val="18"/>
          <w:lang w:eastAsia="ru-RU"/>
        </w:rPr>
        <w:t>, а также другие термины, определения которых приняты по нормативным документам, перечисленным в приложении А.</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4 ОБЩИЕ ПОЛОЖЕНИЯ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Строительство жилых зданий должно осуществляться по проекту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Правила определения площади застройки и этажности зданий при проектировании приведены в приложении В</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Размещение жилого здания, расстояния от него до других зданий и сооружений, размеры земельных участков при доме устанавливаются в соответствии с требованиями СНиП 2.07.01.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 и СНиП 2.07.01.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проектировании и строительстве жилого здания должны быть обеспечены условия для жизнедеятельности маломобильных групп населения, доступности участка, здания и квартир для инвалидов, пользующихся креслами-колясками, если размещение квартир для семей с инвалидами в данном жилом доме установлено в задании на проектирование.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жилых зданиях федерального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СНиП 35-01.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Проект должен сопровождаться инструкцией по эксплуатации квартир и общественных помещений дома.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Инструкция по эксплуатации квартир и помещений дома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и узлов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жилых зданиях следует предусматривать: хозяйственно-питьевое, противопожарное и горячее водоснабжение, канализацию и водостоки в соответствии со СНиП 2.04.01 и СНиП 2.04.02; отопление, вентиляцию, противодымную защиту - в соответствии со СНиП 41-01.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лифтами для транспортирования пожарных подразделений и средства спасения людей в соответствии с требованиями нормативных документов.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Предусматривать лифты следует в жилых зданиях с отметкой пола верхнего жилого этажа, превышающей уровень отметки пола первого этажа на 11,2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жилых зданиях, начинаемых строительством после 01.01.2010 г.,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IA,</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IБ,</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IГ,</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IД</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Arial" w:eastAsia="Times New Roman" w:hAnsi="Arial" w:cs="Arial"/>
          <w:color w:val="5A5A5A"/>
          <w:sz w:val="18"/>
          <w:lang w:eastAsia="ru-RU"/>
        </w:rPr>
        <w:t> </w:t>
      </w:r>
      <w:r w:rsidRPr="00E12B74">
        <w:rPr>
          <w:rFonts w:ascii="Times" w:eastAsia="Times New Roman" w:hAnsi="Times" w:cs="Arial"/>
          <w:color w:val="5A5A5A"/>
          <w:sz w:val="18"/>
          <w:szCs w:val="18"/>
          <w:lang w:eastAsia="ru-RU"/>
        </w:rPr>
        <w:t>IVA</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климатических подрайонах лифты следует предусматривать в зданиях с отметкой пола верхнего этажа, превышающей уровень отметки пола первого этажа на 9,0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Минимальное число пассажирских лифтов, которыми должны быть оборудованы жилые здания различной этажности, приведено в приложении Г</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Допускается при обосновании не предусматривать лифты при надстройке существующих 5-этажных жилых зданий одним этажом. В зданиях, оборудованных лифтом, допускается не предусматривать остановку лифта в надстраиваемом этаже.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должны быть предусмотрены пассажирские лифты или подъемные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платформы в соответствии с требованиями СНиП 35-01, ГОСТ Р 51631 и НПБ 250.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1,5 - перед лифтами грузоподъемностью 630 кг при ширине кабины 2100 мм;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2,1 - перед лифтами грузоподъемностью 630 кг при глубине кабины 2100 мм.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двухрядном расположении лифтов ширина лифтового холла должна быть не менее,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1,8 - при установке лифтов с глубиной кабины менее 2100 мм;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2,5 - при установке лифтов с глубиной кабины 2100 мм и более.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цокольном, первом и втором этажах жилого здания (в крупных и крупнейших городах</w:t>
      </w:r>
      <w:r w:rsidRPr="00E12B74">
        <w:rPr>
          <w:rFonts w:ascii="Times" w:eastAsia="Times New Roman" w:hAnsi="Times" w:cs="Arial"/>
          <w:color w:val="5A5A5A"/>
          <w:sz w:val="18"/>
          <w:szCs w:val="18"/>
          <w:vertAlign w:val="superscript"/>
          <w:lang w:eastAsia="ru-RU"/>
        </w:rPr>
        <w:t>1</w:t>
      </w:r>
      <w:r w:rsidRPr="00E12B74">
        <w:rPr>
          <w:rFonts w:ascii="Times" w:eastAsia="Times New Roman" w:hAnsi="Times" w:cs="Arial"/>
          <w:color w:val="5A5A5A"/>
          <w:sz w:val="18"/>
          <w:vertAlign w:val="superscript"/>
          <w:lang w:eastAsia="ru-RU"/>
        </w:rPr>
        <w:t> </w:t>
      </w:r>
      <w:r w:rsidRPr="00E12B74">
        <w:rPr>
          <w:rFonts w:ascii="Times" w:eastAsia="Times New Roman" w:hAnsi="Times" w:cs="Arial"/>
          <w:color w:val="5A5A5A"/>
          <w:sz w:val="18"/>
          <w:szCs w:val="18"/>
          <w:lang w:eastAsia="ru-RU"/>
        </w:rPr>
        <w:t>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vertAlign w:val="superscript"/>
          <w:lang w:eastAsia="ru-RU"/>
        </w:rPr>
        <w:t>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Классификация городов - по СНиП 2.07.01.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Не допускается размещать: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lastRenderedPageBreak/>
        <w:t>специализированные рыбные магазины; склады любого назначения, в том числе оптовой (или мелкооптовой) торговли;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все предприятия, а также магазины с режимом функционирования после 23 ч</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szCs w:val="1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szCs w:val="18"/>
          <w:lang w:eastAsia="ru-RU"/>
        </w:rPr>
        <w:t>); бани и сауны (кроме индивидуальных саун в квартирах);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Время ограничения функционирования может уточняться местными органами самоуправления.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предприятия питания и досуга с числом мест более 50, общей площадью более 250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 с музыкальным сопровождением;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szCs w:val="18"/>
          <w:lang w:eastAsia="ru-RU"/>
        </w:rPr>
        <w:t>; общественные уборные; похоронные бюро; встроенные и пристроенные трансформаторные подстанции;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Магазины по продаже синтетических ковровых изделий допускается располагать пристроенными к глухим участкам стен жилых зданий с пределом огнестойкости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150.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 При размещении в этих этажах других помещений следует также учитывать ограничения, установленные в 4.10</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данного СНиП и в приложении 4* СНиП 2.08.02.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Допускается не предусматривать указанные загрузочные помещения при площади встроенных общественных помещений до 150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На верхнем этаже жилых зданий допускается размещать мастерские для художников и архитекторов, а также конторские (офисные) помещения с числом работающих в каждом не более 5 чел., при этом следует учитывать требования 7.2.15</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данного СНиП.</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Размещать конторские помещения в надстраиваемых мансардных этажах допускается в зданиях не ниже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и высотой не более 28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4.14 </w:t>
      </w:r>
      <w:r w:rsidRPr="00E12B74">
        <w:rPr>
          <w:rFonts w:ascii="Times" w:eastAsia="Times New Roman" w:hAnsi="Times" w:cs="Arial"/>
          <w:color w:val="5A5A5A"/>
          <w:sz w:val="18"/>
          <w:szCs w:val="18"/>
          <w:lang w:eastAsia="ru-RU"/>
        </w:rPr>
        <w:t>В жилых этажах допускается размещать помещения общественного назначения для индивидуальной деятельности (в пределах площади квартир). В составе квартир с двухсторонней ориентацией допускается предусматривать дополнительные помещения для семейного детского сада на группу не более 10 чел.;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Семейный детский сад допускается размещать в квартирах с двухсторонней ориентацией, расположенных не выше 2-го этажа в зданиях не ниже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при обеспечении этих квартир аварийным выходом согласно 6.20</w:t>
      </w:r>
      <w:r w:rsidRPr="00E12B74">
        <w:rPr>
          <w:rFonts w:ascii="Arial" w:eastAsia="Times New Roman" w:hAnsi="Arial" w:cs="Arial"/>
          <w:color w:val="5A5A5A"/>
          <w:sz w:val="18"/>
          <w:szCs w:val="18"/>
          <w:lang w:eastAsia="ru-RU"/>
        </w:rPr>
        <w:t>*,</w:t>
      </w:r>
      <w:r w:rsidRPr="00E12B74">
        <w:rPr>
          <w:rFonts w:ascii="Arial" w:eastAsia="Times New Roman" w:hAnsi="Arial" w:cs="Arial"/>
          <w:color w:val="5A5A5A"/>
          <w:sz w:val="18"/>
          <w:lang w:eastAsia="ru-RU"/>
        </w:rPr>
        <w:t> </w:t>
      </w:r>
      <w:r w:rsidRPr="00E12B74">
        <w:rPr>
          <w:rFonts w:ascii="Arial" w:eastAsia="Times New Roman" w:hAnsi="Arial" w:cs="Arial"/>
          <w:i/>
          <w:iCs/>
          <w:color w:val="5A5A5A"/>
          <w:sz w:val="18"/>
          <w:lang w:eastAsia="ru-RU"/>
        </w:rPr>
        <w:t>а</w:t>
      </w:r>
      <w:r w:rsidRPr="00E12B74">
        <w:rPr>
          <w:rFonts w:ascii="Arial" w:eastAsia="Times New Roman" w:hAnsi="Arial" w:cs="Arial"/>
          <w:color w:val="5A5A5A"/>
          <w:sz w:val="18"/>
          <w:szCs w:val="18"/>
          <w:lang w:eastAsia="ru-RU"/>
        </w:rPr>
        <w:t>) или</w:t>
      </w:r>
      <w:r w:rsidRPr="00E12B74">
        <w:rPr>
          <w:rFonts w:ascii="Arial" w:eastAsia="Times New Roman" w:hAnsi="Arial" w:cs="Arial"/>
          <w:color w:val="5A5A5A"/>
          <w:sz w:val="18"/>
          <w:lang w:eastAsia="ru-RU"/>
        </w:rPr>
        <w:t> </w:t>
      </w:r>
      <w:r w:rsidRPr="00E12B74">
        <w:rPr>
          <w:rFonts w:ascii="Arial" w:eastAsia="Times New Roman" w:hAnsi="Arial" w:cs="Arial"/>
          <w:i/>
          <w:iCs/>
          <w:color w:val="5A5A5A"/>
          <w:sz w:val="18"/>
          <w:lang w:eastAsia="ru-RU"/>
        </w:rPr>
        <w:t>б</w:t>
      </w:r>
      <w:r w:rsidRPr="00E12B74">
        <w:rPr>
          <w:rFonts w:ascii="Arial" w:eastAsia="Times New Roman" w:hAnsi="Arial" w:cs="Arial"/>
          <w:color w:val="5A5A5A"/>
          <w:sz w:val="18"/>
          <w:szCs w:val="18"/>
          <w:lang w:eastAsia="ru-RU"/>
        </w:rPr>
        <w:t>)</w:t>
      </w:r>
      <w:r w:rsidRPr="00E12B74">
        <w:rPr>
          <w:rFonts w:ascii="Arial" w:eastAsia="Times New Roman" w:hAnsi="Arial" w:cs="Arial"/>
          <w:i/>
          <w:iCs/>
          <w:color w:val="5A5A5A"/>
          <w:sz w:val="18"/>
          <w:lang w:eastAsia="ru-RU"/>
        </w:rPr>
        <w:t> </w:t>
      </w:r>
      <w:r w:rsidRPr="00E12B74">
        <w:rPr>
          <w:rFonts w:ascii="Arial" w:eastAsia="Times New Roman" w:hAnsi="Arial" w:cs="Arial"/>
          <w:color w:val="5A5A5A"/>
          <w:sz w:val="18"/>
          <w:szCs w:val="18"/>
          <w:lang w:eastAsia="ru-RU"/>
        </w:rPr>
        <w:t>СНиП 21-01 и при наличии возможности устройства игровых площадок на придомовой территории.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устройстве в жилых зданиях встроенных или встроенно-пристроенных автостоянок следует соблюдать требования СНиП 21-02. Этажи жилые и этажи с помещениями для детских дошкольных учреждений и лечебно-профилактических учреждений должны отделяться от автостоянки техническим этажом.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4.17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Необходимость устройства мусоропровода в жилых зданиях определяется органами местного самоуправления в зависимости от принятой системы мусороудаления.</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5 ТРЕБОВАНИЯ К ПОМЕЩЕНИЯМ КВАРТИР</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Квартиры в жилых зданиях следует проектировать исходя из условий заселения их одной семьей.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 государственного и муниципального жилищных фондов минимальные размеры квартир по числу комнат и их площади (без учета площади балконов, террас, веранд, лоджий, холодных кладовых и приквартирных тамбуров) рекомендуется принимать согласно таблице 5.1</w:t>
      </w:r>
      <w:r w:rsidRPr="00E12B74">
        <w:rPr>
          <w:rFonts w:ascii="Arial" w:eastAsia="Times New Roman" w:hAnsi="Arial" w:cs="Arial"/>
          <w:color w:val="5A5A5A"/>
          <w:sz w:val="18"/>
          <w:szCs w:val="18"/>
          <w:lang w:eastAsia="ru-RU"/>
        </w:rPr>
        <w:t>. Число комнат и площадь квартир для конкретных регионов и городов уточняется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квартирах, предоставляемых гражданам с учетом социальной нормы площади жилья</w:t>
      </w:r>
      <w:r w:rsidRPr="00E12B74">
        <w:rPr>
          <w:rFonts w:ascii="Times" w:eastAsia="Times New Roman" w:hAnsi="Times" w:cs="Arial"/>
          <w:color w:val="5A5A5A"/>
          <w:sz w:val="18"/>
          <w:szCs w:val="18"/>
          <w:vertAlign w:val="superscript"/>
          <w:lang w:eastAsia="ru-RU"/>
        </w:rPr>
        <w:t>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 государственного и муниципального жилищных фондов, следует предусматривать жилые помещения (комнаты) и подсобные: кухню (или кухню-нишу), переднюю, ванную комнату (или душевую) и уборную (или совмещенный санузел), кладовую (или хозяйственный встроенный шкаф).</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vertAlign w:val="superscript"/>
          <w:lang w:eastAsia="ru-RU"/>
        </w:rPr>
        <w:t>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Социальная норма площади жилья - размер площади жилья, приходящийся на одного человека, определяется в соответствии со ст. 1 и ст. 11 Закона Российской Федерации «Об основах федеральной жилищной политики».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Вентилируемый сушильный шкаф для верхней одежды и обуви предусматривается при строительстве жилого дома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IA,</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IБ,</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IГ 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IIА климатических подрайонах.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Таблица 5.1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04"/>
        <w:gridCol w:w="1596"/>
        <w:gridCol w:w="1595"/>
        <w:gridCol w:w="1595"/>
        <w:gridCol w:w="1595"/>
        <w:gridCol w:w="1595"/>
        <w:gridCol w:w="1595"/>
      </w:tblGrid>
      <w:tr w:rsidR="00E12B74" w:rsidRPr="00E12B74" w:rsidTr="00E12B74">
        <w:trPr>
          <w:tblCellSpacing w:w="0" w:type="dxa"/>
          <w:jc w:val="center"/>
        </w:trPr>
        <w:tc>
          <w:tcPr>
            <w:tcW w:w="1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Число жилых комнат</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w:t>
            </w:r>
          </w:p>
        </w:tc>
      </w:tr>
      <w:tr w:rsidR="00E12B74" w:rsidRPr="00E12B74" w:rsidTr="00E12B74">
        <w:trPr>
          <w:tblCellSpacing w:w="0" w:type="dxa"/>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Рекомендуемая площадь квартир, м</w:t>
            </w:r>
            <w:r w:rsidRPr="00E12B74">
              <w:rPr>
                <w:rFonts w:ascii="Times" w:eastAsia="Times New Roman" w:hAnsi="Times" w:cs="Arial"/>
                <w:color w:val="5A5A5A"/>
                <w:sz w:val="18"/>
                <w:szCs w:val="18"/>
                <w:vertAlign w:val="superscript"/>
                <w:lang w:eastAsia="ru-RU"/>
              </w:rPr>
              <w:t>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28 - 38</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44 - 53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56 - 65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70 - 77</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84 - 96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103 - 109</w:t>
            </w:r>
          </w:p>
        </w:tc>
      </w:tr>
    </w:tbl>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Лоджии и балконы следует предусматривать: в квартирах домов, строящихся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Неблагоприятные условия для проектирования балконов и неостекленных лоджий: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климатических районах - сочетание среднемесячной температуры воздуха и среднемесячной скорости ветра в июле: 12 - 16 °С и более 5 м/с; 8 - 12 °С и 4 - 5 м/с; 4 - 8 °С и 4 м/с; ниже 4 °С при любой скорости ветра;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шум от транспортных магистралей или промышленных территорий 75 дБ и более на расстоянии 2 м от фасада жилого дома (кроме шумозащищенных жилых домов);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концентрация пыли в воздухе 1,5 мг/м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 более в течение 15 дней и более в период трех летних месяцев.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Размещение жилых помещений в подвальных и цокольных этажах жилых зданий не допускается.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Габариты жилых и подсобных помещений квартиры определяются в зависимости от необходимого набора предметов мебели и оборудования, размещаемых с учетом требований эргономики.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Площадь помещений в квартирах, указанных в 5.3</w:t>
      </w:r>
      <w:r w:rsidRPr="00E12B74">
        <w:rPr>
          <w:rFonts w:ascii="Arial" w:eastAsia="Times New Roman" w:hAnsi="Arial" w:cs="Arial"/>
          <w:color w:val="5A5A5A"/>
          <w:sz w:val="18"/>
          <w:szCs w:val="18"/>
          <w:lang w:eastAsia="ru-RU"/>
        </w:rPr>
        <w:t>, должна быть не менее: жилого помещения (комнаты) в однокомнатной квартире - 14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szCs w:val="18"/>
          <w:lang w:eastAsia="ru-RU"/>
        </w:rPr>
        <w:t>, общего жилого помещения в квартирах с числом комнат две и более – 16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szCs w:val="18"/>
          <w:lang w:eastAsia="ru-RU"/>
        </w:rPr>
        <w:t>, спальни – 8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vertAlign w:val="superscript"/>
          <w:lang w:eastAsia="ru-RU"/>
        </w:rPr>
        <w:t> </w:t>
      </w:r>
      <w:r w:rsidRPr="00E12B74">
        <w:rPr>
          <w:rFonts w:ascii="Arial" w:eastAsia="Times New Roman" w:hAnsi="Arial" w:cs="Arial"/>
          <w:color w:val="5A5A5A"/>
          <w:sz w:val="18"/>
          <w:szCs w:val="18"/>
          <w:lang w:eastAsia="ru-RU"/>
        </w:rPr>
        <w:t>(10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-на двух человек); кухни - 8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szCs w:val="18"/>
          <w:lang w:eastAsia="ru-RU"/>
        </w:rPr>
        <w:t>; кухонной зоны в кухне - столовой - 6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szCs w:val="18"/>
          <w:lang w:eastAsia="ru-RU"/>
        </w:rPr>
        <w:t>. В однокомнатных квартирах допускается проектировать кухни или кухни-ниши площадью не менее 5 м</w:t>
      </w:r>
      <w:r w:rsidRPr="00E12B74">
        <w:rPr>
          <w:rFonts w:ascii="Arial" w:eastAsia="Times New Roman" w:hAnsi="Arial" w:cs="Arial"/>
          <w:color w:val="5A5A5A"/>
          <w:sz w:val="18"/>
          <w:szCs w:val="18"/>
          <w:vertAlign w:val="superscript"/>
          <w:lang w:eastAsia="ru-RU"/>
        </w:rPr>
        <w:t>2</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lastRenderedPageBreak/>
        <w:t>Площадь спальни и кухни в мансардном этаже (или этаже с наклонными ограждающими конструкциями) допускается не менее 7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условии, что общее жилое помещение имеет площадь не менее 16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Высота (от пола до потолка) жилых помещений и кухни (кухни-столовой) в климатических районах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IA,</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IБ,</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IГ,</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IД 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IVA</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должна быть не менее 2,7 м, а в других климатических районах - не менее 2,5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жилых помещениях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50 %.</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Общие жилые помещения в 2</w:t>
      </w:r>
      <w:r w:rsidRPr="00E12B74">
        <w:rPr>
          <w:rFonts w:ascii="Arial" w:eastAsia="Times New Roman" w:hAnsi="Arial" w:cs="Arial"/>
          <w:color w:val="5A5A5A"/>
          <w:sz w:val="18"/>
          <w:szCs w:val="18"/>
          <w:lang w:eastAsia="ru-RU"/>
        </w:rPr>
        <w:t>-, 3- и 4-комнатных квартирах зданий жилищных фондов, указанных в 5.3, и спальни во всех квартирах следует проектировать непроходными.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5.10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Помещения квартир, указанных в 5.3</w:t>
      </w:r>
      <w:r w:rsidRPr="00E12B74">
        <w:rPr>
          <w:rFonts w:ascii="Arial" w:eastAsia="Times New Roman" w:hAnsi="Arial" w:cs="Arial"/>
          <w:color w:val="5A5A5A"/>
          <w:sz w:val="18"/>
          <w:szCs w:val="18"/>
          <w:lang w:eastAsia="ru-RU"/>
        </w:rPr>
        <w:t>, должны быть оборудованы: кухня - мойкой или раковиной, а также плитой для приготовления пищи; ванная комната - ванной (или душем) и умывальником; уборная - унитазом со смывным бачком; совмещенный санузел - ванной (или душем), умывальником и унитазом. В других квартирах состав оборудования помещений устанавливается заказчиком-застройщиком.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Устройство совмещенного санузла допускается в однокомнатных квартирах домов государственного и муниципального жилищных фондов, в других квартирах - по заданию на проектирование.</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6 НЕСУЩАЯ СПОСОБНОСТЬ И ДЕФОРМАТИВНОСТЬ КОНСТРУКЦИЙ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разрушений или повреждений конструкций, приводящих к необходимости прекращения эксплуатации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недопустимого ухудшения эксплуатационных свойств конструкций или здания в целом вследствие деформаций или образования трещин.</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СНиП 2.01.07.</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Используемые при проектировании конструкций методы расчета их несущей способности и деформативности должны отвечать требованиям действующих нормативных документов на конструкции из соответствующих материалов.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Фундаменты здания должны быть запроектированы с учетом физико-механических характеристик грунтов, предусмотренных в СНиП 2.02.01, СНиП 2.02.03 (для вечномерзлых грунтов - в СНиП 2.02.04),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реконструкции жилого здания следует учитывать изменения в его конструктивной схеме, возникшие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6.8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шумо-и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7 ПОЖАРНАЯ БЕЗОПАСНОСТЬ</w:t>
      </w:r>
    </w:p>
    <w:p w:rsidR="00E12B74" w:rsidRPr="00E12B74" w:rsidRDefault="00E12B74" w:rsidP="00E12B7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E12B74">
        <w:rPr>
          <w:rFonts w:ascii="Arial" w:eastAsia="Times New Roman" w:hAnsi="Arial" w:cs="Arial"/>
          <w:b/>
          <w:bCs/>
          <w:color w:val="5A5A5A"/>
          <w:sz w:val="20"/>
          <w:szCs w:val="20"/>
          <w:lang w:eastAsia="ru-RU"/>
        </w:rPr>
        <w:t>7.1 ПРЕДОТВРАЩЕНИЕ РАСПРОСТРАНЕНИЯ ПОЖАРА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7.1.1 </w:t>
      </w:r>
      <w:r w:rsidRPr="00E12B74">
        <w:rPr>
          <w:rFonts w:ascii="Times" w:eastAsia="Times New Roman" w:hAnsi="Times" w:cs="Arial"/>
          <w:color w:val="5A5A5A"/>
          <w:sz w:val="18"/>
          <w:szCs w:val="18"/>
          <w:lang w:eastAsia="ru-RU"/>
        </w:rPr>
        <w:t>Пожарную безопасность зданий следует обеспечивать в соответствии с требованиями СНиП 21-01 к зданиям функциональной пожарной опасности Ф1.3 и правилами, установленными в данном документе для специально оговоренных случаев, а в процессе эксплуатации в соответствии с ППБ 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7.1.2 </w:t>
      </w:r>
      <w:r w:rsidRPr="00E12B74">
        <w:rPr>
          <w:rFonts w:ascii="Times" w:eastAsia="Times New Roman" w:hAnsi="Times" w:cs="Arial"/>
          <w:color w:val="5A5A5A"/>
          <w:sz w:val="18"/>
          <w:szCs w:val="18"/>
          <w:lang w:eastAsia="ru-RU"/>
        </w:rPr>
        <w:t>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Таблица 7.1</w:t>
      </w:r>
    </w:p>
    <w:tbl>
      <w:tblPr>
        <w:tblW w:w="5000" w:type="pct"/>
        <w:jc w:val="center"/>
        <w:tblCellSpacing w:w="0" w:type="dxa"/>
        <w:shd w:val="clear" w:color="auto" w:fill="FFFFFF"/>
        <w:tblCellMar>
          <w:left w:w="0" w:type="dxa"/>
          <w:right w:w="0" w:type="dxa"/>
        </w:tblCellMar>
        <w:tblLook w:val="04A0"/>
      </w:tblPr>
      <w:tblGrid>
        <w:gridCol w:w="2631"/>
        <w:gridCol w:w="4178"/>
        <w:gridCol w:w="3869"/>
        <w:gridCol w:w="4797"/>
      </w:tblGrid>
      <w:tr w:rsidR="00E12B74" w:rsidRPr="00E12B74" w:rsidTr="00E12B74">
        <w:trPr>
          <w:tblCellSpacing w:w="0" w:type="dxa"/>
          <w:jc w:val="center"/>
        </w:trPr>
        <w:tc>
          <w:tcPr>
            <w:tcW w:w="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Степень огнестойкости здания</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Класс конструктивной пожарной опасности здания</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Наибольшая допустимая высота здания, м</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Наибольшая допустимая площадь этажа пожарного отсека, м</w:t>
            </w:r>
            <w:r w:rsidRPr="00E12B74">
              <w:rPr>
                <w:rFonts w:ascii="Times" w:eastAsia="Times New Roman" w:hAnsi="Times" w:cs="Arial"/>
                <w:color w:val="5A5A5A"/>
                <w:sz w:val="18"/>
                <w:szCs w:val="18"/>
                <w:vertAlign w:val="superscript"/>
                <w:lang w:eastAsia="ru-RU"/>
              </w:rPr>
              <w:t>2</w:t>
            </w:r>
          </w:p>
        </w:tc>
      </w:tr>
      <w:tr w:rsidR="00E12B74" w:rsidRPr="00E12B74" w:rsidTr="00E12B74">
        <w:trPr>
          <w:tblCellSpacing w:w="0" w:type="dxa"/>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75</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2500</w:t>
            </w:r>
          </w:p>
        </w:tc>
      </w:tr>
      <w:tr w:rsidR="00E12B74" w:rsidRPr="00E12B74" w:rsidTr="00E12B74">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II</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28</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2200</w:t>
            </w:r>
          </w:p>
        </w:tc>
      </w:tr>
      <w:tr w:rsidR="00E12B74" w:rsidRPr="00E12B74" w:rsidTr="00E12B74">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III</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28</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1800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15</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1800</w:t>
            </w:r>
          </w:p>
        </w:tc>
      </w:tr>
      <w:tr w:rsidR="00E12B74" w:rsidRPr="00E12B74" w:rsidTr="00E12B74">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IV</w:t>
            </w: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1400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800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1200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900</w:t>
            </w:r>
          </w:p>
        </w:tc>
      </w:tr>
      <w:tr w:rsidR="00E12B74" w:rsidRPr="00E12B74" w:rsidTr="00E12B74">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V</w:t>
            </w:r>
          </w:p>
        </w:tc>
        <w:tc>
          <w:tcPr>
            <w:tcW w:w="1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Не нормируется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500</w:t>
            </w:r>
          </w:p>
        </w:tc>
      </w:tr>
      <w:tr w:rsidR="00E12B74" w:rsidRPr="00E12B74" w:rsidTr="00E12B7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800</w:t>
            </w:r>
          </w:p>
        </w:tc>
      </w:tr>
      <w:tr w:rsidR="00E12B74" w:rsidRPr="00E12B74" w:rsidTr="00E12B74">
        <w:trPr>
          <w:tblCellSpacing w:w="0" w:type="dxa"/>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Примечание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Степень огнестойкости здания с неотапливаемыми пристройками следует принимать по степени огнестойкости отапливаемой части здания.</w:t>
            </w:r>
          </w:p>
        </w:tc>
      </w:tr>
    </w:tbl>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Здания</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допускается надстраивать одним мансардным этажом с несущими элементами, имеющими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45 и класс пожарной опасности К0, независимо от высоты зданий, установленной в таблице 7.1</w:t>
      </w:r>
      <w:r w:rsidRPr="00E12B74">
        <w:rPr>
          <w:rFonts w:ascii="Arial" w:eastAsia="Times New Roman" w:hAnsi="Arial" w:cs="Arial"/>
          <w:color w:val="5A5A5A"/>
          <w:sz w:val="18"/>
          <w:szCs w:val="18"/>
          <w:lang w:eastAsia="ru-RU"/>
        </w:rP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применении деревянных конструкций следует предусматривать конструктивную огнезащиту, обеспечивающую указанные требования.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lastRenderedPageBreak/>
        <w:t>7.1.4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Предел огнестойкости по признаку</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для конструкций галерей в галерейных домах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должен соответствовать значениям, принятым для перекрытий зданий, и иметь класс пожарной опасности К0. Конструкции галерей 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должны иметь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15 и класс пожарной опасности К0.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Несущие элементы двухэтажных зданий</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должны иметь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30.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межсекционные стены и перегородки, а также стены и перегородки, отделяющие внеквартирные коридоры от других помещений, должны иметь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45, 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15.</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межквартирные ненесущие стены и перегородки должны иметь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30 и класс пожарной опасности К0, 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15 и класс пожарной опасности не ниже К1.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Перегородки между кладовыми в подвальных и цокольных этажах зданий</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высотой до пяти этажей включительно, а также 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Технические, подвальные, цокольные этажи и чердаки следует разделять противопожарными перегородками 1-го типа на отсеки площадью не более 500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несекционных жилых домах, а в секционных - по секциям.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 Они могут выполняться из материалов групп горючести Г1 и Г2 либо в соответствии с 7.20 СНиП 21-01.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Ограждения лоджий и балконов в зданиях высотой три этажа и более должны выполняться из негорючих материалов.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Из негорючих материалов также следует выполнять наружную солнцезащиту 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высотой 5 этажей и более.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 перекрытиями 2-го типа.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60 и классом пожарной опасности К0.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Кровлю, стропила и обрешетку чердачных покрытий допускается выполнять из горючих материалов. В зданиях с чердаками (за исключением зданий</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Несущие конструкции покрытия встроенно-пристроенной части должны иметь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45 и класс пожарной опасности К0.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негорючим.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7.1.16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E12B74" w:rsidRPr="00E12B74" w:rsidRDefault="00E12B74" w:rsidP="00E12B7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E12B74">
        <w:rPr>
          <w:rFonts w:ascii="Arial" w:eastAsia="Times New Roman" w:hAnsi="Arial" w:cs="Arial"/>
          <w:b/>
          <w:bCs/>
          <w:color w:val="5A5A5A"/>
          <w:sz w:val="20"/>
          <w:szCs w:val="20"/>
          <w:lang w:eastAsia="ru-RU"/>
        </w:rPr>
        <w:t>7.2 ОБЕСПЕЧЕНИЕ ЭВАКУАЦИИ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Наибольшие расстояния от дверей квартир до лестничной клетки или выхода наружу следует принимать по таблице 7.2</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Таблица 7.2</w:t>
      </w:r>
    </w:p>
    <w:tbl>
      <w:tblPr>
        <w:tblW w:w="5000" w:type="pct"/>
        <w:jc w:val="center"/>
        <w:tblCellSpacing w:w="0" w:type="dxa"/>
        <w:shd w:val="clear" w:color="auto" w:fill="FFFFFF"/>
        <w:tblCellMar>
          <w:left w:w="0" w:type="dxa"/>
          <w:right w:w="0" w:type="dxa"/>
        </w:tblCellMar>
        <w:tblLook w:val="04A0"/>
      </w:tblPr>
      <w:tblGrid>
        <w:gridCol w:w="2345"/>
        <w:gridCol w:w="3595"/>
        <w:gridCol w:w="5626"/>
        <w:gridCol w:w="3909"/>
      </w:tblGrid>
      <w:tr w:rsidR="00E12B74" w:rsidRPr="00E12B74" w:rsidTr="00E12B74">
        <w:trPr>
          <w:tblCellSpacing w:w="0" w:type="dxa"/>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Степень огнестойкости здания</w:t>
            </w:r>
          </w:p>
        </w:tc>
        <w:tc>
          <w:tcPr>
            <w:tcW w:w="11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Класс конструктивной пожарной опасности здания</w:t>
            </w:r>
          </w:p>
        </w:tc>
        <w:tc>
          <w:tcPr>
            <w:tcW w:w="3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Наибольшее расстояние от дверей квартиры до выхода, м</w:t>
            </w:r>
          </w:p>
        </w:tc>
      </w:tr>
      <w:tr w:rsidR="00E12B74" w:rsidRPr="00E12B74" w:rsidTr="00E12B74">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расположении между лестничными клетками или наружными входами</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выходах в тупиковый коридор или галерею</w:t>
            </w:r>
          </w:p>
        </w:tc>
      </w:tr>
      <w:tr w:rsidR="00E12B74" w:rsidRPr="00E12B74" w:rsidTr="00E12B74">
        <w:trPr>
          <w:tblCellSpacing w:w="0" w:type="dxa"/>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w:t>
            </w:r>
          </w:p>
        </w:tc>
      </w:tr>
      <w:tr w:rsidR="00E12B74" w:rsidRPr="00E12B74" w:rsidTr="00E12B74">
        <w:trPr>
          <w:tblCellSpacing w:w="0" w:type="dxa"/>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II</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С1</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20</w:t>
            </w:r>
          </w:p>
        </w:tc>
      </w:tr>
      <w:tr w:rsidR="00E12B74" w:rsidRPr="00E12B74" w:rsidTr="00E12B74">
        <w:trPr>
          <w:tblCellSpacing w:w="0" w:type="dxa"/>
          <w:jc w:val="center"/>
        </w:trPr>
        <w:tc>
          <w:tcPr>
            <w:tcW w:w="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III</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20</w:t>
            </w:r>
          </w:p>
        </w:tc>
      </w:tr>
      <w:tr w:rsidR="00E12B74" w:rsidRPr="00E12B74" w:rsidTr="00E12B74">
        <w:trPr>
          <w:tblCellSpacing w:w="0" w:type="dxa"/>
          <w:jc w:val="center"/>
        </w:trPr>
        <w:tc>
          <w:tcPr>
            <w:tcW w:w="0" w:type="auto"/>
            <w:vMerge/>
            <w:tcBorders>
              <w:top w:val="nil"/>
              <w:left w:val="single" w:sz="4" w:space="0" w:color="auto"/>
              <w:bottom w:val="nil"/>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С1</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15</w:t>
            </w:r>
          </w:p>
        </w:tc>
      </w:tr>
      <w:tr w:rsidR="00E12B74" w:rsidRPr="00E12B74" w:rsidTr="00E12B74">
        <w:trPr>
          <w:tblCellSpacing w:w="0" w:type="dxa"/>
          <w:jc w:val="center"/>
        </w:trPr>
        <w:tc>
          <w:tcPr>
            <w:tcW w:w="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IV</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С0</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15</w:t>
            </w:r>
          </w:p>
        </w:tc>
      </w:tr>
      <w:tr w:rsidR="00E12B74" w:rsidRPr="00E12B74" w:rsidTr="00E12B74">
        <w:trPr>
          <w:tblCellSpacing w:w="0" w:type="dxa"/>
          <w:jc w:val="center"/>
        </w:trPr>
        <w:tc>
          <w:tcPr>
            <w:tcW w:w="0" w:type="auto"/>
            <w:vMerge/>
            <w:tcBorders>
              <w:top w:val="nil"/>
              <w:left w:val="single" w:sz="4" w:space="0" w:color="auto"/>
              <w:bottom w:val="nil"/>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С1, С2</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r>
      <w:tr w:rsidR="00E12B74" w:rsidRPr="00E12B74" w:rsidTr="00E12B74">
        <w:trPr>
          <w:tblCellSpacing w:w="0" w:type="dxa"/>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V</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Не нормируется</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r>
    </w:tbl>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секции жилого здания при выходе из квартир в коридор (холл), не имеющий оконного проема площадью не менее 1,2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7.2</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как для тупикового коридора.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30, оборудованными закрывателями и располагаемыми на расстоянии не более 30 м одна от другой и от торцов коридора.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Число эвакуационных выходов с этажа и тип лестничных клеток следует принимать по СНиП 21-01.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жилых зданиях высотой менее 28 м, проектируемых для размещения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климатическом районе 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IIIБ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R</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60.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жилых зданиях коридорного (галерейного) типа при общей площади квартир на этаже до 500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по 6.20*,</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а), б) </w:t>
      </w:r>
      <w:r w:rsidRPr="00E12B74">
        <w:rPr>
          <w:rFonts w:ascii="Times" w:eastAsia="Times New Roman" w:hAnsi="Times" w:cs="Arial"/>
          <w:color w:val="5A5A5A"/>
          <w:sz w:val="18"/>
          <w:szCs w:val="18"/>
          <w:lang w:eastAsia="ru-RU"/>
        </w:rPr>
        <w:t>или</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СНиП 21-01.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общей площади квартир на этаже, а для зданий секционного типа - на этаже секции, более 500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эвакуация должна осуществляться не менее чем в две лестничные клетки (обычные или незадымляемые).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жилых зданиях с общей площадью квартир на этаже секции (этаже коридорного, галерейного дома) от 500 до 550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допускается устройство одного эвакуационного выхода из квартир:</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высоте расположения верхнего этажа не более 28 м - в обычную лестничную клетку при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условии оборудования передних в квартирах датчиками адресной пожарной сигнализации;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lastRenderedPageBreak/>
        <w:t>7.2.9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6.20*,</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а), б) </w:t>
      </w:r>
      <w:r w:rsidRPr="00E12B74">
        <w:rPr>
          <w:rFonts w:ascii="Times" w:eastAsia="Times New Roman" w:hAnsi="Times" w:cs="Arial"/>
          <w:color w:val="5A5A5A"/>
          <w:sz w:val="18"/>
          <w:szCs w:val="18"/>
          <w:lang w:eastAsia="ru-RU"/>
        </w:rPr>
        <w:t>или</w:t>
      </w:r>
      <w:r w:rsidRPr="00E12B74">
        <w:rPr>
          <w:rFonts w:ascii="Times" w:eastAsia="Times New Roman" w:hAnsi="Times" w:cs="Arial"/>
          <w:color w:val="5A5A5A"/>
          <w:sz w:val="18"/>
          <w:lang w:eastAsia="ru-RU"/>
        </w:rPr>
        <w:t> </w:t>
      </w:r>
      <w:r w:rsidRPr="00E12B74">
        <w:rPr>
          <w:rFonts w:ascii="Times" w:eastAsia="Times New Roman" w:hAnsi="Times" w:cs="Arial"/>
          <w:i/>
          <w:iCs/>
          <w:color w:val="5A5A5A"/>
          <w:sz w:val="18"/>
          <w:lang w:eastAsia="ru-RU"/>
        </w:rPr>
        <w:t>в) </w:t>
      </w:r>
      <w:r w:rsidRPr="00E12B74">
        <w:rPr>
          <w:rFonts w:ascii="Times" w:eastAsia="Times New Roman" w:hAnsi="Times" w:cs="Arial"/>
          <w:color w:val="5A5A5A"/>
          <w:sz w:val="18"/>
          <w:szCs w:val="18"/>
          <w:lang w:eastAsia="ru-RU"/>
        </w:rPr>
        <w:t>СНиП 21-01. Внутриквартирную лестницу допускается выполнять деревянной.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7.22 СНиП 21-01.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 высотой до 50 м с общей площадью квартир на этаже секции до 500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НПБ 250.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Выходы из технических этажей следует предусматривать в соответствии с 6.21 СНиП 21-01.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устройстве аварийных выходов из мансардных этажей на кровлю согласно 6.20* СНиП 21-01 необходимо предусматривать площадки и переходные мостики с ограждением по ГОСТ 25772, ведущие к лестницам 3-го типа и лестницам П2.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7.2.15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Помещения общественного назначения должны иметь входы и эвакуационные выходы, изолированные от жилой части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 числе работающих не более 15 чел.</w:t>
      </w:r>
    </w:p>
    <w:p w:rsidR="00E12B74" w:rsidRPr="00E12B74" w:rsidRDefault="00E12B74" w:rsidP="00E12B7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E12B74">
        <w:rPr>
          <w:rFonts w:ascii="Arial" w:eastAsia="Times New Roman" w:hAnsi="Arial" w:cs="Arial"/>
          <w:b/>
          <w:bCs/>
          <w:color w:val="5A5A5A"/>
          <w:sz w:val="20"/>
          <w:szCs w:val="20"/>
          <w:lang w:eastAsia="ru-RU"/>
        </w:rPr>
        <w:t>7.3 ПРОТИВОПОЖАРНЫЕ ТРЕБОВАНИЯ К ИНЖЕНЕРНЫМ СИСТЕМАМ И ОБОРУДОВАНИЮ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Противодымная защита зданий должна выполняться в соответствии со СНиП 41-01. В зданиях высотой более 28 м с незадымляемыми лестничными клетками следует предусматривать удаление дыма из поэтажных коридоров через специальные шахты с принудительной вытяжкой и клапанами, устраиваемыми на каждом этаже из расчета одна шахта на 30 м длины коридора. Для каждой шахты дымоудаления следует предусматривать автономный вентилятор. Шахты дымоудаления должны иметь предел огнестойкости не менее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EI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60.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шахтах лифтов в зданиях высотой более 28 м при пожаре следует обеспечивать подачу наружного воздуха согласно СНиП 41-01.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Защиту зданий автоматической пожарной сигнализацией следует предусматривать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соответствии с НПБ 110. При наличии в здании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Тепловые пожарные извещатели, устанавливаемые в прихожих квартир зданий высотой более 28 м должны иметь температуру срабатывания не более 52 °С.</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НПБ 66.</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Система оповещения о пожаре должна выполняться в соответствии с НПБ 104.</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Внутридомовые и внутриквартирные электрические сети должны оборудоваться устройствами защитного отключения (УЗО) согласно ПУЭ.</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кухнях жилых домов высотой 11 этажей и более не допускается установка кухонных плит на газовом топливе.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степеней огнестойкости и высотой не более 5 этажей.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Теплогенераторы следует размещать в отдельном нежилом помещении, при этом суммарная тепловая мощность теплогенераторов не должна превышать 100 кВт. Установку теплогенераторов суммарной тепловой мощностью до 35 кВт допускается предусматривать в кухнях.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 для теплогенераторов не допускается размещать в подвале. Оно должно иметь окно с площадью остекления из расчета 0,03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vertAlign w:val="superscript"/>
          <w:lang w:eastAsia="ru-RU"/>
        </w:rPr>
        <w:t> </w:t>
      </w:r>
      <w:r w:rsidRPr="00E12B74">
        <w:rPr>
          <w:rFonts w:ascii="Times" w:eastAsia="Times New Roman" w:hAnsi="Times" w:cs="Arial"/>
          <w:color w:val="5A5A5A"/>
          <w:sz w:val="18"/>
          <w:szCs w:val="18"/>
          <w:lang w:eastAsia="ru-RU"/>
        </w:rPr>
        <w:t>на 1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объема помещения, с форточкой или другим специальным устройством для проветривания, расположенным в верхней части окна. Объем помещения определяется исходя из условий удобства эксплуатации теплогенераторов и производства монтажных работ и быть не менее 15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Высота помещения должна быть не менее 2,2 м. Габариты помещения должны обеспечивать устройство проходов шириной не менее 0,7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Теплогенераторы следует устанавливать: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у стен или на стенах из негорючих (НГ) и трудногорючих (Г1) материалов;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на расстоянии не ближе 3 см от стен из горючих материалов с покрытием негорючими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(НГ) или трудногорючими (Г1) материалами стены. Указанное покрытие стены должно выступать за габариты корпуса теплогенератора не менее чем на 10 см.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Участок пола под напольным теплогенератором должен иметь защитное покрытие из негорючих (НГ) или трудногорючих (Г1) материалов и выступать за габариты корпуса теплогенератора не менее чем на 10 см.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Квартирные генераторы теплоты,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 Кладовые твердого топлива следует размещать в хозяйственных постройках.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lastRenderedPageBreak/>
        <w:t>7.3.10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СНиП 41-01.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7.3.12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двухэтажных зданиях</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степени огнестойкости с числом квартир 4 и более следует предусматривать в объеме лестничной клетки устройство сухотруба с выводом его на чердак.</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Сухотруб должен иметь выведенные наружу патрубки, оборудованные вентилями и соединительными головками для подключения передвижной пожарной техники, а на чердаке - соединительную головку для подключения пожарного рукава.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распределительных (вводных) электрощитах указанных зданий следует предусматривать установку самосрабатывающих огнетушителей.</w:t>
      </w:r>
    </w:p>
    <w:p w:rsidR="00E12B74" w:rsidRPr="00E12B74" w:rsidRDefault="00E12B74" w:rsidP="00E12B7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E12B74">
        <w:rPr>
          <w:rFonts w:ascii="Arial" w:eastAsia="Times New Roman" w:hAnsi="Arial" w:cs="Arial"/>
          <w:b/>
          <w:bCs/>
          <w:color w:val="5A5A5A"/>
          <w:sz w:val="20"/>
          <w:szCs w:val="20"/>
          <w:lang w:eastAsia="ru-RU"/>
        </w:rPr>
        <w:t>7.4 ОБЕСПЕЧЕНИЕ ТУШЕНИЯ ПОЖАРА И СПАСАТЕЛЬНЫХ РАБОТ</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7.4.1 </w:t>
      </w:r>
      <w:r w:rsidRPr="00E12B74">
        <w:rPr>
          <w:rFonts w:ascii="Times" w:eastAsia="Times New Roman" w:hAnsi="Times" w:cs="Arial"/>
          <w:color w:val="5A5A5A"/>
          <w:sz w:val="18"/>
          <w:szCs w:val="18"/>
          <w:lang w:eastAsia="ru-RU"/>
        </w:rPr>
        <w:t>Сквозные проезды в зданиях следует принимать шириной в свету не менее 3,5 м, высотой - не менее 4,25 м для зданий высотой до 50 м и не менее 4,5 м - для зданий высотой более 50 м. Сквозные проходы через лестничные клетки зданий должны быть расположены на расстоянии один от другого не более 100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Допускается не устраивать сквозные проходы через лестничные клетки при устройстве водопроводных сетей с установкой на них пожарных гидрантов с двух противоположных сторон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7.4.2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w:t>
      </w:r>
      <w:r w:rsidRPr="00E12B74">
        <w:rPr>
          <w:rFonts w:ascii="ymbol;mso-ascii-font-family:" w:eastAsia="Times New Roman" w:hAnsi="ymbol;mso-ascii-font-family:" w:cs="Arial"/>
          <w:color w:val="5A5A5A"/>
          <w:sz w:val="18"/>
          <w:szCs w:val="18"/>
          <w:lang w:eastAsia="ru-RU"/>
        </w:rPr>
        <w:t>´</w:t>
      </w:r>
      <w:r w:rsidRPr="00E12B74">
        <w:rPr>
          <w:rFonts w:ascii="Times" w:eastAsia="Times New Roman" w:hAnsi="Times" w:cs="Arial"/>
          <w:color w:val="5A5A5A"/>
          <w:sz w:val="18"/>
          <w:szCs w:val="18"/>
          <w:lang w:eastAsia="ru-RU"/>
        </w:rPr>
        <w:t>1,2 м с приямками. Свободную площадь указанных окон необходимо принимать по расчету, но не менее 0,2 %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7.4.3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7.4.4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Противопожарный водопровод должен выполняться в соответствии со СНиП 2.04.01 и СНиП 2.04.02.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0,8 - 1,2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7.4.5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На сети хозяйственно-питьевого водопровода в каждой квартире следует предусматривать отдельный кран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7.4.6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жилых зданиях высотой более 50 м один из лифтов должен обеспечивать транспортирование пожарных подразделений и соответствовать требованиям НПБ 250.</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8 БЕЗОПАСНОСТЬ ПРИ ПОЛЬЗОВАНИИ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Минимальную ширину и максимальный уклон лестничных маршей следует принимать согласно таблице 8.1</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Таблица 8.1</w:t>
      </w:r>
    </w:p>
    <w:tbl>
      <w:tblPr>
        <w:tblW w:w="5000" w:type="pct"/>
        <w:jc w:val="center"/>
        <w:tblCellSpacing w:w="0" w:type="dxa"/>
        <w:shd w:val="clear" w:color="auto" w:fill="FFFFFF"/>
        <w:tblCellMar>
          <w:left w:w="0" w:type="dxa"/>
          <w:right w:w="0" w:type="dxa"/>
        </w:tblCellMar>
        <w:tblLook w:val="04A0"/>
      </w:tblPr>
      <w:tblGrid>
        <w:gridCol w:w="10368"/>
        <w:gridCol w:w="2476"/>
        <w:gridCol w:w="2631"/>
      </w:tblGrid>
      <w:tr w:rsidR="00E12B74" w:rsidRPr="00E12B74" w:rsidTr="00E12B74">
        <w:trPr>
          <w:tblCellSpacing w:w="0" w:type="dxa"/>
          <w:jc w:val="center"/>
        </w:trPr>
        <w:tc>
          <w:tcPr>
            <w:tcW w:w="33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Наименование марша</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Минимальная ширина, м</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Максимальный уклон</w:t>
            </w:r>
          </w:p>
        </w:tc>
      </w:tr>
      <w:tr w:rsidR="00E12B74" w:rsidRPr="00E12B74" w:rsidTr="00E12B74">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Марши лестниц, ведущие на жилые этажи зданий:</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 </w:t>
            </w:r>
          </w:p>
        </w:tc>
      </w:tr>
      <w:tr w:rsidR="00E12B74" w:rsidRPr="00E12B74" w:rsidTr="00E12B74">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секционных: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 </w:t>
            </w:r>
          </w:p>
        </w:tc>
      </w:tr>
      <w:tr w:rsidR="00E12B74" w:rsidRPr="00E12B74" w:rsidTr="00E12B74">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двухэтажных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1:1,5</w:t>
            </w:r>
          </w:p>
        </w:tc>
      </w:tr>
      <w:tr w:rsidR="00E12B74" w:rsidRPr="00E12B74" w:rsidTr="00E12B74">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трехэтажных и более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1:1,75</w:t>
            </w:r>
          </w:p>
        </w:tc>
      </w:tr>
      <w:tr w:rsidR="00E12B74" w:rsidRPr="00E12B74" w:rsidTr="00E12B74">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коридорных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1:1,75</w:t>
            </w:r>
          </w:p>
        </w:tc>
      </w:tr>
      <w:tr w:rsidR="00E12B74" w:rsidRPr="00E12B74" w:rsidTr="00E12B74">
        <w:trPr>
          <w:tblCellSpacing w:w="0" w:type="dxa"/>
          <w:jc w:val="center"/>
        </w:trPr>
        <w:tc>
          <w:tcPr>
            <w:tcW w:w="3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Марши лестниц, ведущие в подвальные и цокольные этажи, а также внутриквартирных лестниц</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0,9</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1:1,25</w:t>
            </w:r>
          </w:p>
        </w:tc>
      </w:tr>
      <w:tr w:rsidR="00E12B74" w:rsidRPr="00E12B74" w:rsidTr="00E12B74">
        <w:trPr>
          <w:tblCellSpacing w:w="0" w:type="dxa"/>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Примечание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Ширину марша следует определять расстоянием между ограждениями или между стеной и ограждением.</w:t>
            </w:r>
          </w:p>
        </w:tc>
      </w:tr>
    </w:tbl>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Ограждения должны быть непрерывными, оборудованы поручнями и рассчитаны на восприятие горизонтальных нагрузок не менее 0,3 кН/м.</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заводов-изготовителей оборудования.</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Инженерное оборудование и приборы при возможных сейсмических воздействиях должны быть надежно закреплены.</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Камин допускается проектировать в квартире на последнем этаже жилого дома, на любом уровне многоуровневой квартиры, размещенной последней по высоте в доме.</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Мероприятия, направленные на уменьшение рисков криминальных проявлений, следует дополнять на стадии эксплуатации.</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Молниезащита проектируется в соответствии с требованиями РД 34.21.122.</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lastRenderedPageBreak/>
        <w:t>8.11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На эксплуатируемых кровлях жилых зданий (кроме жилых зданий с помещениями общественного назначения на верхних этажах),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проектировании саун в квартирах следует предусматривать:</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объем парильной - не более 24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szCs w:val="18"/>
          <w:lang w:eastAsia="ru-RU"/>
        </w:rPr>
        <w:t>;</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специальную печь заводского изготовления для нагрева с автоматическим отключением при достижении температуры 130 °С, а также через 8 ч непрерывной работы;</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размещение этой печи на расстоянии не менее 0,2 м от стен парильной;</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устройство над печью несгораемого теплоизоляционного щита;</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оборудование вентиляционного канала огнезадерживающим клапаном в соответствии со СНиП 41-01.</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8.14 </w:t>
      </w:r>
      <w:r w:rsidRPr="00E12B74">
        <w:rPr>
          <w:rFonts w:ascii="Times" w:eastAsia="Times New Roman" w:hAnsi="Times" w:cs="Arial"/>
          <w:color w:val="5A5A5A"/>
          <w:sz w:val="18"/>
          <w:szCs w:val="18"/>
          <w:lang w:eastAsia="ru-RU"/>
        </w:rPr>
        <w:t>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9 ОБЕСПЕЧЕНИЕ САНИТАРНО-ЭПИДЕМИОЛОГИЧЕСКИХ ТРЕБОВАНИЙ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проектировании и строительстве жилых зданий в соответствии с настоящими нормами и правилами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(СанПиН 2.1.2.1002 и др.).</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Расчетные параметры воздуха в помещениях жилого дома следует принимать по оптимальным нормам ГОСТ 30494. Кратность воздухообмена в помещениях следует принимать в соответствии с таблицей 9.1</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Таблица 9.1</w:t>
      </w:r>
    </w:p>
    <w:tbl>
      <w:tblPr>
        <w:tblW w:w="5000" w:type="pct"/>
        <w:jc w:val="center"/>
        <w:tblCellSpacing w:w="0" w:type="dxa"/>
        <w:shd w:val="clear" w:color="auto" w:fill="FFFFFF"/>
        <w:tblCellMar>
          <w:left w:w="0" w:type="dxa"/>
          <w:right w:w="0" w:type="dxa"/>
        </w:tblCellMar>
        <w:tblLook w:val="04A0"/>
      </w:tblPr>
      <w:tblGrid>
        <w:gridCol w:w="8285"/>
        <w:gridCol w:w="3439"/>
        <w:gridCol w:w="3751"/>
      </w:tblGrid>
      <w:tr w:rsidR="00E12B74" w:rsidRPr="00E12B74" w:rsidTr="00E12B74">
        <w:trPr>
          <w:tblCellSpacing w:w="0" w:type="dxa"/>
          <w:jc w:val="center"/>
        </w:trPr>
        <w:tc>
          <w:tcPr>
            <w:tcW w:w="26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w:t>
            </w:r>
          </w:p>
        </w:tc>
        <w:tc>
          <w:tcPr>
            <w:tcW w:w="23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Кратность или величина воздухообмена,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час, не менее</w:t>
            </w:r>
          </w:p>
        </w:tc>
      </w:tr>
      <w:tr w:rsidR="00E12B74" w:rsidRPr="00E12B74" w:rsidTr="00E12B74">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12B74" w:rsidRPr="00E12B74" w:rsidRDefault="00E12B74" w:rsidP="00E12B74">
            <w:pPr>
              <w:spacing w:after="0" w:line="240" w:lineRule="auto"/>
              <w:rPr>
                <w:rFonts w:ascii="Arial" w:eastAsia="Times New Roman" w:hAnsi="Arial" w:cs="Arial"/>
                <w:color w:val="5A5A5A"/>
                <w:sz w:val="18"/>
                <w:szCs w:val="1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нерабочем режиме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режиме обслуживания</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Спальная, общая, детская комнаты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Библиотека, кабинет</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0,5</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Кладовая, бельевая, гардеробная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0,2</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Тренажерный зал, бильярдная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80 м</w:t>
            </w:r>
            <w:r w:rsidRPr="00E12B74">
              <w:rPr>
                <w:rFonts w:ascii="Times" w:eastAsia="Times New Roman" w:hAnsi="Times" w:cs="Arial"/>
                <w:color w:val="5A5A5A"/>
                <w:sz w:val="18"/>
                <w:szCs w:val="18"/>
                <w:vertAlign w:val="superscript"/>
                <w:lang w:eastAsia="ru-RU"/>
              </w:rPr>
              <w:t>3</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Постирочная, гладильная, сушильная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90 м</w:t>
            </w:r>
            <w:r w:rsidRPr="00E12B74">
              <w:rPr>
                <w:rFonts w:ascii="Times" w:eastAsia="Times New Roman" w:hAnsi="Times" w:cs="Arial"/>
                <w:color w:val="5A5A5A"/>
                <w:sz w:val="18"/>
                <w:szCs w:val="18"/>
                <w:vertAlign w:val="superscript"/>
                <w:lang w:eastAsia="ru-RU"/>
              </w:rPr>
              <w:t>3</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Кухня с электроплитой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60 м</w:t>
            </w:r>
            <w:r w:rsidRPr="00E12B74">
              <w:rPr>
                <w:rFonts w:ascii="Times" w:eastAsia="Times New Roman" w:hAnsi="Times" w:cs="Arial"/>
                <w:color w:val="5A5A5A"/>
                <w:sz w:val="18"/>
                <w:szCs w:val="18"/>
                <w:vertAlign w:val="superscript"/>
                <w:lang w:eastAsia="ru-RU"/>
              </w:rPr>
              <w:t>3</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 с газоиспользующим оборудованием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 + 100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vertAlign w:val="superscript"/>
                <w:lang w:eastAsia="ru-RU"/>
              </w:rPr>
              <w:t> </w:t>
            </w:r>
            <w:r w:rsidRPr="00E12B74">
              <w:rPr>
                <w:rFonts w:ascii="Times" w:eastAsia="Times New Roman" w:hAnsi="Times" w:cs="Arial"/>
                <w:color w:val="5A5A5A"/>
                <w:sz w:val="18"/>
                <w:szCs w:val="18"/>
                <w:lang w:eastAsia="ru-RU"/>
              </w:rPr>
              <w:t>на плиту</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 с теплогенераторами и печами на твердом топливе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 + 100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vertAlign w:val="superscript"/>
                <w:lang w:eastAsia="ru-RU"/>
              </w:rPr>
              <w:t> </w:t>
            </w:r>
            <w:r w:rsidRPr="00E12B74">
              <w:rPr>
                <w:rFonts w:ascii="Times" w:eastAsia="Times New Roman" w:hAnsi="Times" w:cs="Arial"/>
                <w:color w:val="5A5A5A"/>
                <w:sz w:val="18"/>
                <w:szCs w:val="18"/>
                <w:lang w:eastAsia="ru-RU"/>
              </w:rPr>
              <w:t>на плиту</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Ванная, душевая, уборная, совмещенный санузел</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 м</w:t>
            </w:r>
            <w:r w:rsidRPr="00E12B74">
              <w:rPr>
                <w:rFonts w:ascii="Times" w:eastAsia="Times New Roman" w:hAnsi="Times" w:cs="Arial"/>
                <w:color w:val="5A5A5A"/>
                <w:sz w:val="18"/>
                <w:szCs w:val="18"/>
                <w:vertAlign w:val="superscript"/>
                <w:lang w:eastAsia="ru-RU"/>
              </w:rPr>
              <w:t>3</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Сауна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 м</w:t>
            </w:r>
            <w:r w:rsidRPr="00E12B74">
              <w:rPr>
                <w:rFonts w:ascii="Times" w:eastAsia="Times New Roman" w:hAnsi="Times" w:cs="Arial"/>
                <w:color w:val="5A5A5A"/>
                <w:sz w:val="18"/>
                <w:szCs w:val="18"/>
                <w:vertAlign w:val="superscript"/>
                <w:lang w:eastAsia="ru-RU"/>
              </w:rPr>
              <w:t>3</w:t>
            </w:r>
            <w:r w:rsidRPr="00E12B74">
              <w:rPr>
                <w:rFonts w:ascii="Times" w:eastAsia="Times New Roman" w:hAnsi="Times" w:cs="Arial"/>
                <w:color w:val="5A5A5A"/>
                <w:sz w:val="18"/>
                <w:vertAlign w:val="superscript"/>
                <w:lang w:eastAsia="ru-RU"/>
              </w:rPr>
              <w:t> </w:t>
            </w:r>
            <w:r w:rsidRPr="00E12B74">
              <w:rPr>
                <w:rFonts w:ascii="Times" w:eastAsia="Times New Roman" w:hAnsi="Times" w:cs="Arial"/>
                <w:color w:val="5A5A5A"/>
                <w:sz w:val="18"/>
                <w:szCs w:val="18"/>
                <w:lang w:eastAsia="ru-RU"/>
              </w:rPr>
              <w:t>на 1 человека</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Машинное отделение лифта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 расчету</w:t>
            </w:r>
          </w:p>
        </w:tc>
      </w:tr>
      <w:tr w:rsidR="00E12B74" w:rsidRPr="00E12B74" w:rsidTr="00E12B74">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Автостоянка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 расчету</w:t>
            </w:r>
          </w:p>
        </w:tc>
      </w:tr>
      <w:tr w:rsidR="00E12B74" w:rsidRPr="00E12B74" w:rsidTr="00E12B74">
        <w:trPr>
          <w:tblCellSpacing w:w="0" w:type="dxa"/>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Мусоросборная камера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r>
    </w:tbl>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Кратность воздухообмена во всех вентилируемых помещениях, не указанных в таблице, в нерабочем режиме должна составлять не менее 0,2 объема помещения в час.</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устройстве системы кондиционирования воздуха оптимальные параметры должны обеспечиваться и в теплый период года.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зданиях, возводимых в районах с расчетной температурой наружного воздуха минус 40 °С и ниже, должен предусматриваться обогрев поверхности полов жилых помещений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СНиП 23-02.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Система вентиляции должна поддерживать чистоту (качество) воздуха в помещениях и равномерность его распространения.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Вентиляция может быть: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с естественным притоком и удалением воздуха;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с механическим побуждением притока и удаления воздуха, в том числе совмещенная с воздушным отоплением;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комбинированная с естественным притоком и удалением воздуха с частичным использованием механического побуждения.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При необходимости квартиры, проектируемые для</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и</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климатических районов, должны быть дополнительно обеспечены сквозным или угловым проветриванием.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Вентиляция встраиваемых помещений общественного назначения, кроме указанных в 4.14</w:t>
      </w:r>
      <w:r w:rsidRPr="00E12B74">
        <w:rPr>
          <w:rFonts w:ascii="Arial" w:eastAsia="Times New Roman" w:hAnsi="Arial" w:cs="Arial"/>
          <w:color w:val="5A5A5A"/>
          <w:sz w:val="18"/>
          <w:szCs w:val="18"/>
          <w:lang w:eastAsia="ru-RU"/>
        </w:rPr>
        <w:t>, должна быть автономной.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Продолжительность инсоляции квартир (помещений) жилого дома следует принимать согласно требованиям СанПиН 2.2.1/2.1.1.1076.</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lastRenderedPageBreak/>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Естественное освещение должны иметь жилые комнаты и кухни, помещения общественного назначения, встроенные в жилые здания, кроме помещений, размещение которых допускается в подвальных этажах согласно СНиП 2.08.02.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Отношение площади световых проемов к площади пола жилых помещений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Естественное освещение не нормируется для помещений, расположенных под антресолью в двухсветных помещениях; постирочных, кладовых, гардеробных, помещений ванных комнат, уборных, совмещенных санитарных узлов; передних и внутриквартирных коридоров и холлов; приквартирных тамбуров, поэтажных внеквартирных коридоров, вестибюлей и холлов.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Нормируемые показатели естественного и искусственного освещения различных помещений следует устанавливать в соответствии со СНиП 23-05. Освещенность в местах входов в здание должна быть не менее 6 лк для горизонтальных поверхностей и не менее 10 лк для вертикальных (до 2 м) поверхностей.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 зданиях, проектируемых для строительства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климатическом районе, световые проемы в жилых комнатах и кухнях, а 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IVa</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климатическом подрайоне также в лоджиях, должны быть оборудованы наружной регулируемой солнцезащитой в пределах сектора 200 - 290°. В двухэтажных зданиях солнцезащиту допускается обеспечивать средствами озеленения.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требуемую температуру и отсутствие конденсации влаги на внутренних поверхностях конструкций внутри помещений;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предотвращение накопления излишней влаги в конструкциях.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СНиП 23-02.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9.19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В</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III</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климатических районах при всех наружных входах в жилые здания следует предусматривать тамбуры глубиной не менее 1,5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Двойные тамбуры при входах в жилые здания следует проектировать в зависимости от этажности зданий и района их строительства согласно таблице 9.2</w:t>
      </w:r>
      <w:r w:rsidRPr="00E12B74">
        <w:rPr>
          <w:rFonts w:ascii="Arial" w:eastAsia="Times New Roman" w:hAnsi="Arial" w:cs="Arial"/>
          <w:color w:val="5A5A5A"/>
          <w:sz w:val="18"/>
          <w:szCs w:val="18"/>
          <w:lang w:eastAsia="ru-RU"/>
        </w:rPr>
        <w:t>.</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Таблица 9.2</w:t>
      </w:r>
    </w:p>
    <w:tbl>
      <w:tblPr>
        <w:tblW w:w="5000" w:type="pct"/>
        <w:jc w:val="center"/>
        <w:tblCellSpacing w:w="0" w:type="dxa"/>
        <w:shd w:val="clear" w:color="auto" w:fill="FFFFFF"/>
        <w:tblCellMar>
          <w:left w:w="0" w:type="dxa"/>
          <w:right w:w="0" w:type="dxa"/>
        </w:tblCellMar>
        <w:tblLook w:val="04A0"/>
      </w:tblPr>
      <w:tblGrid>
        <w:gridCol w:w="8975"/>
        <w:gridCol w:w="6500"/>
      </w:tblGrid>
      <w:tr w:rsidR="00E12B74" w:rsidRPr="00E12B74" w:rsidTr="00E12B74">
        <w:trPr>
          <w:tblCellSpacing w:w="0" w:type="dxa"/>
          <w:jc w:val="center"/>
        </w:trPr>
        <w:tc>
          <w:tcPr>
            <w:tcW w:w="2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Средняя температура наиболее холодной пятидневки, °С</w:t>
            </w:r>
          </w:p>
        </w:tc>
        <w:tc>
          <w:tcPr>
            <w:tcW w:w="2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Двойной тамбур в зданиях с числом этажей</w:t>
            </w:r>
          </w:p>
        </w:tc>
      </w:tr>
      <w:tr w:rsidR="00E12B74" w:rsidRPr="00E12B74" w:rsidTr="00E12B74">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Минус 20 и выше</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16 и более</w:t>
            </w:r>
          </w:p>
        </w:tc>
      </w:tr>
      <w:tr w:rsidR="00E12B74" w:rsidRPr="00E12B74" w:rsidTr="00E12B74">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Ниже минус 20 до минус 25 включ.</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12 » »</w:t>
            </w:r>
          </w:p>
        </w:tc>
      </w:tr>
      <w:tr w:rsidR="00E12B74" w:rsidRPr="00E12B74" w:rsidTr="00E12B74">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25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35   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 » »</w:t>
            </w:r>
          </w:p>
        </w:tc>
      </w:tr>
      <w:tr w:rsidR="00E12B74" w:rsidRPr="00E12B74" w:rsidTr="00E12B74">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35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40   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 » »</w:t>
            </w:r>
          </w:p>
        </w:tc>
      </w:tr>
      <w:tr w:rsidR="00E12B74" w:rsidRPr="00E12B74" w:rsidTr="00E12B74">
        <w:trPr>
          <w:tblCellSpacing w:w="0" w:type="dxa"/>
          <w:jc w:val="center"/>
        </w:trPr>
        <w:tc>
          <w:tcPr>
            <w:tcW w:w="2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40</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 » »</w:t>
            </w:r>
          </w:p>
        </w:tc>
      </w:tr>
      <w:tr w:rsidR="00E12B74" w:rsidRPr="00E12B74" w:rsidTr="00E12B74">
        <w:trPr>
          <w:tblCellSpacing w:w="0" w:type="dxa"/>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Примечания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 При непосредственном входе в квартиру двойной тамбур следует проектировать при неотапливаемой лестничной клетке.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 В качестве тамбура может быть использована веранда.</w:t>
            </w:r>
          </w:p>
        </w:tc>
      </w:tr>
    </w:tbl>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9.20 </w:t>
      </w:r>
      <w:r w:rsidRPr="00E12B74">
        <w:rPr>
          <w:rFonts w:ascii="Times" w:eastAsia="Times New Roman" w:hAnsi="Times" w:cs="Arial"/>
          <w:color w:val="5A5A5A"/>
          <w:sz w:val="18"/>
          <w:szCs w:val="18"/>
          <w:lang w:eastAsia="ru-RU"/>
        </w:rPr>
        <w:t>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9.23 </w:t>
      </w:r>
      <w:r w:rsidRPr="00E12B74">
        <w:rPr>
          <w:rFonts w:ascii="Times" w:eastAsia="Times New Roman" w:hAnsi="Times" w:cs="Arial"/>
          <w:color w:val="5A5A5A"/>
          <w:sz w:val="18"/>
          <w:szCs w:val="18"/>
          <w:lang w:eastAsia="ru-RU"/>
        </w:rPr>
        <w:t>При использовании в строительстве новых материалов и изделий последние должны иметь гигиеническое заключение, выданное органами и учреждениями государственной санитарно-эпидемиологической службы.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СНиП 23-03.</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Межквартирные стены и перегородки должны иметь индекс изоляции воздушного шума не ниже 50 дБ.</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 его очистки и промывки над жилыми комнатами, под ними, а также смежно с ними.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9.28</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расход воды допускается уменьшать по согласованию с местными органами Минздрава России.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9.29</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Для удаления сточных вод должна быть предусмотрена система канализации - централизованная или локальная в соответствии с правилами, установленными в СНиП 2.04.01.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Сточные воды должны удаляться без загрязнения территории и водоносных горизонтов.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9.30</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Устройства для сбора и удаления твердых бытовых отходов и отходов от эксплуатации встроенных в жилое здание помещений общественного назначения, в том числе и мусоропроводы, должны быть выполнены в соответствии с правилами эксплуатации жилищного фонда, принятыми местными органами власти.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9.31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СанПиН 4690.</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Ствол мусоропровода должен быть воздухонепроницаемым, звукоизолированным от строительных конструкций и не должен примыкать к жилым помещениям.</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10 ДОЛГОВЕЧНОСТЬ И РЕМОНТОПРИГОДНОСТЬ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lastRenderedPageBreak/>
        <w:t>10.1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соблюдении установленных правил несущие конструкции здания должны сохранять свои свойства в соответствии с требованиями настоящих норм и правил в течение предполагаемого срока службы, который может быть установлен в задании на проектирование.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10.2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СНиП 20-01 и строительных норм и правил на строительные конструкции из соответствующих материалов.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10.3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10.4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необходимых случаях должны быть приняты соответствующие меры от проникновения дож</w:t>
      </w:r>
      <w:r w:rsidRPr="00E12B74">
        <w:rPr>
          <w:rFonts w:ascii="Arial" w:eastAsia="Times New Roman" w:hAnsi="Arial" w:cs="Arial"/>
          <w:color w:val="5A5A5A"/>
          <w:sz w:val="18"/>
          <w:szCs w:val="18"/>
          <w:lang w:eastAsia="ru-RU"/>
        </w:rPr>
        <w:t>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требованиями действующих нормативных документов.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10.5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10.6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10.7</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нормативных документах по различным инженерным сетям.</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11 ЭНЕРГОСБЕРЕЖЕНИЕ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Соблюдение требований норм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оценке энергоэффективности здания по теплотехническим</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характеристикам его строительных конструкций и инженерных систем</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требования настоящих норм считаются выполненными при следующих условиях: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 приведенное сопротивление теплопередаче и воздухопроницаемость ограждающих конструкций не ниже требуемых по СНиП 23-02;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 системы отопления, вентиляции, кондиционирования воздуха и горячего водоснабжения имеют автоматическое или ручное регулирование;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11.4 </w:t>
      </w:r>
      <w:r w:rsidRPr="00E12B74">
        <w:rPr>
          <w:rFonts w:ascii="Times" w:eastAsia="Times New Roman" w:hAnsi="Times" w:cs="Arial"/>
          <w:color w:val="5A5A5A"/>
          <w:sz w:val="18"/>
          <w:szCs w:val="18"/>
          <w:lang w:eastAsia="ru-RU"/>
        </w:rPr>
        <w:t>При оценке энергоэффективности здания по комплексному показателю</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11.5 </w:t>
      </w:r>
      <w:r w:rsidRPr="00E12B74">
        <w:rPr>
          <w:rFonts w:ascii="Times" w:eastAsia="Times New Roman" w:hAnsi="Times" w:cs="Arial"/>
          <w:color w:val="5A5A5A"/>
          <w:sz w:val="18"/>
          <w:szCs w:val="18"/>
          <w:lang w:eastAsia="ru-RU"/>
        </w:rPr>
        <w:t>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наиболее компактное объемно-планировочное решение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применение эффективного инженерного оборудования соответствующего номенклатурного ряда с повышенным КПД;</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 утилизацию теплоты отходящего воздуха и сточных вод, использование возобновляемых источников энергии (солнечной, ветра и т.д.).</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Если в результате проведения указанных мероприятий условия 11.4 обеспечиваются при меньших значениях сопротивления теплопередаче ограждающих конструкций, чем требуется по СНиП 23-02, то показатели сопротивления теплопередаче стен допускается снижать по сравнению с установленными нормами.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11.6</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С целью контроля энергоэффективности здания по нормативным показателям проектная документация должна содержать раздел «Энергоэффективность». Этот раздел должен содержать энергетический паспорт здания в соответствии со СНиП 23-02, информацию о присвоении класса энергетической эффективности здания,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ПРИЛОЖЕНИЕ А</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НОРМАТИВНЫЕ ССЫЛКИ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5" w:history="1">
        <w:r w:rsidRPr="00E12B74">
          <w:rPr>
            <w:rFonts w:ascii="Times" w:eastAsia="Times New Roman" w:hAnsi="Times" w:cs="Arial"/>
            <w:color w:val="0000AA"/>
            <w:sz w:val="18"/>
            <w:lang w:eastAsia="ru-RU"/>
          </w:rPr>
          <w:t>СНиП 2.01.07-85*</w:t>
        </w:r>
        <w:r w:rsidRPr="00E12B74">
          <w:rPr>
            <w:rFonts w:ascii="Arial" w:eastAsia="Times New Roman" w:hAnsi="Arial" w:cs="Arial"/>
            <w:color w:val="0000AA"/>
            <w:sz w:val="18"/>
            <w:lang w:eastAsia="ru-RU"/>
          </w:rPr>
          <w:t> Нагрузки и воздействия</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6" w:history="1">
        <w:r w:rsidRPr="00E12B74">
          <w:rPr>
            <w:rFonts w:ascii="Times" w:eastAsia="Times New Roman" w:hAnsi="Times" w:cs="Arial"/>
            <w:color w:val="0000AA"/>
            <w:sz w:val="18"/>
            <w:lang w:eastAsia="ru-RU"/>
          </w:rPr>
          <w:t>СНиП 2.02.01-83*</w:t>
        </w:r>
        <w:r w:rsidRPr="00E12B74">
          <w:rPr>
            <w:rFonts w:ascii="Arial" w:eastAsia="Times New Roman" w:hAnsi="Arial" w:cs="Arial"/>
            <w:color w:val="0000AA"/>
            <w:sz w:val="18"/>
            <w:lang w:eastAsia="ru-RU"/>
          </w:rPr>
          <w:t> Основания зданий и сооружений</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7" w:history="1">
        <w:r w:rsidRPr="00E12B74">
          <w:rPr>
            <w:rFonts w:ascii="Times" w:eastAsia="Times New Roman" w:hAnsi="Times" w:cs="Arial"/>
            <w:color w:val="0000AA"/>
            <w:sz w:val="18"/>
            <w:lang w:eastAsia="ru-RU"/>
          </w:rPr>
          <w:t>СНиП 2.02.03-85</w:t>
        </w:r>
        <w:r w:rsidRPr="00E12B74">
          <w:rPr>
            <w:rFonts w:ascii="Arial" w:eastAsia="Times New Roman" w:hAnsi="Arial" w:cs="Arial"/>
            <w:color w:val="0000AA"/>
            <w:sz w:val="18"/>
            <w:lang w:eastAsia="ru-RU"/>
          </w:rPr>
          <w:t> Свайные фундаменты</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8" w:history="1">
        <w:r w:rsidRPr="00E12B74">
          <w:rPr>
            <w:rFonts w:ascii="Times" w:eastAsia="Times New Roman" w:hAnsi="Times" w:cs="Arial"/>
            <w:color w:val="0000AA"/>
            <w:sz w:val="18"/>
            <w:lang w:eastAsia="ru-RU"/>
          </w:rPr>
          <w:t>СНиП 2.02.04-88</w:t>
        </w:r>
        <w:r w:rsidRPr="00E12B74">
          <w:rPr>
            <w:rFonts w:ascii="Arial" w:eastAsia="Times New Roman" w:hAnsi="Arial" w:cs="Arial"/>
            <w:color w:val="0000AA"/>
            <w:sz w:val="18"/>
            <w:lang w:eastAsia="ru-RU"/>
          </w:rPr>
          <w:t> Основания и фундаменты на вечномерзлых грунтах</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9" w:history="1">
        <w:r w:rsidRPr="00E12B74">
          <w:rPr>
            <w:rFonts w:ascii="Times" w:eastAsia="Times New Roman" w:hAnsi="Times" w:cs="Arial"/>
            <w:color w:val="0000AA"/>
            <w:sz w:val="18"/>
            <w:lang w:eastAsia="ru-RU"/>
          </w:rPr>
          <w:t>СНиП 2.03.11-85</w:t>
        </w:r>
        <w:r w:rsidRPr="00E12B74">
          <w:rPr>
            <w:rFonts w:ascii="Arial" w:eastAsia="Times New Roman" w:hAnsi="Arial" w:cs="Arial"/>
            <w:color w:val="0000AA"/>
            <w:sz w:val="18"/>
            <w:lang w:eastAsia="ru-RU"/>
          </w:rPr>
          <w:t> Защита строительных конструкций от коррозии</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0" w:history="1">
        <w:r w:rsidRPr="00E12B74">
          <w:rPr>
            <w:rFonts w:ascii="Times" w:eastAsia="Times New Roman" w:hAnsi="Times" w:cs="Arial"/>
            <w:color w:val="800080"/>
            <w:sz w:val="18"/>
            <w:lang w:eastAsia="ru-RU"/>
          </w:rPr>
          <w:t>СНиП 2.04.01-85*</w:t>
        </w:r>
        <w:r w:rsidRPr="00E12B74">
          <w:rPr>
            <w:rFonts w:ascii="Arial" w:eastAsia="Times New Roman" w:hAnsi="Arial" w:cs="Arial"/>
            <w:color w:val="800080"/>
            <w:sz w:val="18"/>
            <w:lang w:eastAsia="ru-RU"/>
          </w:rPr>
          <w:t> Внутренний водопровод и канализация зданий</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1" w:history="1">
        <w:r w:rsidRPr="00E12B74">
          <w:rPr>
            <w:rFonts w:ascii="Times" w:eastAsia="Times New Roman" w:hAnsi="Times" w:cs="Arial"/>
            <w:color w:val="0000AA"/>
            <w:sz w:val="18"/>
            <w:lang w:eastAsia="ru-RU"/>
          </w:rPr>
          <w:t>СНиП 2.04.02-84*</w:t>
        </w:r>
        <w:r w:rsidRPr="00E12B74">
          <w:rPr>
            <w:rFonts w:ascii="Arial" w:eastAsia="Times New Roman" w:hAnsi="Arial" w:cs="Arial"/>
            <w:color w:val="0000AA"/>
            <w:sz w:val="18"/>
            <w:lang w:eastAsia="ru-RU"/>
          </w:rPr>
          <w:t> Водоснабжение. Наружные сети и сооружения</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2" w:history="1">
        <w:r w:rsidRPr="00E12B74">
          <w:rPr>
            <w:rFonts w:ascii="Times" w:eastAsia="Times New Roman" w:hAnsi="Times" w:cs="Arial"/>
            <w:color w:val="0000AA"/>
            <w:sz w:val="18"/>
            <w:lang w:eastAsia="ru-RU"/>
          </w:rPr>
          <w:t>СНиП 2.07.01-89*</w:t>
        </w:r>
        <w:r w:rsidRPr="00E12B74">
          <w:rPr>
            <w:rFonts w:ascii="Arial" w:eastAsia="Times New Roman" w:hAnsi="Arial" w:cs="Arial"/>
            <w:color w:val="0000AA"/>
            <w:sz w:val="18"/>
            <w:lang w:eastAsia="ru-RU"/>
          </w:rPr>
          <w:t> Градостроительство. Планировка и застройка городских и сельских поселений</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3" w:history="1">
        <w:r w:rsidRPr="00E12B74">
          <w:rPr>
            <w:rFonts w:ascii="Times" w:eastAsia="Times New Roman" w:hAnsi="Times" w:cs="Arial"/>
            <w:color w:val="0000AA"/>
            <w:sz w:val="18"/>
            <w:lang w:eastAsia="ru-RU"/>
          </w:rPr>
          <w:t>СНиП 2.08.02-89*</w:t>
        </w:r>
        <w:r w:rsidRPr="00E12B74">
          <w:rPr>
            <w:rFonts w:ascii="Arial" w:eastAsia="Times New Roman" w:hAnsi="Arial" w:cs="Arial"/>
            <w:color w:val="0000AA"/>
            <w:sz w:val="18"/>
            <w:lang w:eastAsia="ru-RU"/>
          </w:rPr>
          <w:t> Общественные здания и сооружения</w:t>
        </w:r>
      </w:hyperlink>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II-7-81*</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Строительство в сейсмических районах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II-11-77*</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Защитные сооружения гражданской обороны</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20-01-2003</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Надежность строительных конструкций и оснований. Основные положения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4" w:history="1">
        <w:r w:rsidRPr="00E12B74">
          <w:rPr>
            <w:rFonts w:ascii="Arial" w:eastAsia="Times New Roman" w:hAnsi="Arial" w:cs="Arial"/>
            <w:color w:val="0000AA"/>
            <w:sz w:val="18"/>
            <w:lang w:eastAsia="ru-RU"/>
          </w:rPr>
          <w:t>СНиП 21-01-97*</w:t>
        </w:r>
      </w:hyperlink>
      <w:r w:rsidRPr="00E12B74">
        <w:rPr>
          <w:rFonts w:ascii="Arial" w:eastAsia="Times New Roman" w:hAnsi="Arial" w:cs="Arial"/>
          <w:color w:val="0000AA"/>
          <w:sz w:val="18"/>
          <w:lang w:eastAsia="ru-RU"/>
        </w:rPr>
        <w:t> </w:t>
      </w:r>
      <w:r w:rsidRPr="00E12B74">
        <w:rPr>
          <w:rFonts w:ascii="Arial" w:eastAsia="Times New Roman" w:hAnsi="Arial" w:cs="Arial"/>
          <w:color w:val="0000AA"/>
          <w:sz w:val="18"/>
          <w:szCs w:val="18"/>
          <w:lang w:eastAsia="ru-RU"/>
        </w:rPr>
        <w:t>Пожарная безопасность зданий и сооружений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21-02-99*</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Стоянки автомобилей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23-02-2003</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Тепловая защита зданий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5" w:history="1">
        <w:r w:rsidRPr="00E12B74">
          <w:rPr>
            <w:rFonts w:ascii="Arial" w:eastAsia="Times New Roman" w:hAnsi="Arial" w:cs="Arial"/>
            <w:color w:val="0000AA"/>
            <w:sz w:val="18"/>
            <w:lang w:eastAsia="ru-RU"/>
          </w:rPr>
          <w:t>СНиП 23-03-2003</w:t>
        </w:r>
      </w:hyperlink>
      <w:r w:rsidRPr="00E12B74">
        <w:rPr>
          <w:rFonts w:ascii="Arial" w:eastAsia="Times New Roman" w:hAnsi="Arial" w:cs="Arial"/>
          <w:color w:val="0000AA"/>
          <w:sz w:val="18"/>
          <w:lang w:eastAsia="ru-RU"/>
        </w:rPr>
        <w:t> </w:t>
      </w:r>
      <w:r w:rsidRPr="00E12B74">
        <w:rPr>
          <w:rFonts w:ascii="Arial" w:eastAsia="Times New Roman" w:hAnsi="Arial" w:cs="Arial"/>
          <w:color w:val="0000AA"/>
          <w:sz w:val="18"/>
          <w:szCs w:val="18"/>
          <w:lang w:eastAsia="ru-RU"/>
        </w:rPr>
        <w:t>Защита от шума</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6" w:history="1">
        <w:r w:rsidRPr="00E12B74">
          <w:rPr>
            <w:rFonts w:ascii="Arial" w:eastAsia="Times New Roman" w:hAnsi="Arial" w:cs="Arial"/>
            <w:color w:val="0000AA"/>
            <w:sz w:val="18"/>
            <w:lang w:eastAsia="ru-RU"/>
          </w:rPr>
          <w:t>СНиП 23-05-95*</w:t>
        </w:r>
      </w:hyperlink>
      <w:r w:rsidRPr="00E12B74">
        <w:rPr>
          <w:rFonts w:ascii="Arial" w:eastAsia="Times New Roman" w:hAnsi="Arial" w:cs="Arial"/>
          <w:color w:val="0000AA"/>
          <w:sz w:val="18"/>
          <w:lang w:eastAsia="ru-RU"/>
        </w:rPr>
        <w:t> </w:t>
      </w:r>
      <w:r w:rsidRPr="00E12B74">
        <w:rPr>
          <w:rFonts w:ascii="Arial" w:eastAsia="Times New Roman" w:hAnsi="Arial" w:cs="Arial"/>
          <w:color w:val="0000AA"/>
          <w:sz w:val="18"/>
          <w:szCs w:val="18"/>
          <w:lang w:eastAsia="ru-RU"/>
        </w:rPr>
        <w:t>Естественное и искусственное освещение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31-02-2001</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Дома жилые одноквартирные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СНиП 35-01-2001</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Доступность зданий и сооружений для маломобильных групп населения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hyperlink r:id="rId17" w:history="1">
        <w:r w:rsidRPr="00E12B74">
          <w:rPr>
            <w:rFonts w:ascii="Arial" w:eastAsia="Times New Roman" w:hAnsi="Arial" w:cs="Arial"/>
            <w:color w:val="0000AA"/>
            <w:sz w:val="18"/>
            <w:lang w:eastAsia="ru-RU"/>
          </w:rPr>
          <w:t>СНиП 41-01-2003</w:t>
        </w:r>
      </w:hyperlink>
      <w:r w:rsidRPr="00E12B74">
        <w:rPr>
          <w:rFonts w:ascii="Arial" w:eastAsia="Times New Roman" w:hAnsi="Arial" w:cs="Arial"/>
          <w:color w:val="0000AA"/>
          <w:sz w:val="18"/>
          <w:lang w:eastAsia="ru-RU"/>
        </w:rPr>
        <w:t> </w:t>
      </w:r>
      <w:r w:rsidRPr="00E12B74">
        <w:rPr>
          <w:rFonts w:ascii="Arial" w:eastAsia="Times New Roman" w:hAnsi="Arial" w:cs="Arial"/>
          <w:color w:val="0000AA"/>
          <w:sz w:val="18"/>
          <w:szCs w:val="18"/>
          <w:lang w:eastAsia="ru-RU"/>
        </w:rPr>
        <w:t>Отопление, вентиляция и кондиционирование</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ГОСТ 25772-83</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Ограждения лестниц, балконов и крыш стальные. Общие технические условия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ГОСТ 30494-96</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Здания жилые и общественные. Параметры микроклимата в помещениях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ГОСТ Р 51631-2000</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Лифты пассажирские. Технические требования доступности для инвалидов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ПУЭ</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Правила устройства электроустановок</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НПБ 66-97</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Извещатели пожарные автономные. Общие технические требования. Методы испытаний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НПБ 104-03</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Системы оповещения и управления эвакуацией людей при пожарах в зданиях и сооружениях</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НПБ 110-03</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НПБ 250-97</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Лифты для транспортирования пожарных подразделений в зданиях и сооружениях. Общие технические требования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ППБ 01-03</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Правила пожарной безопасности в Российской Федерации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РД 34.21.122-87</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Инструкция по устройству молниезащиты зданий и сооружений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СанПиН 2.1.2.1002-00</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Санитарно-эпидемиологические требования к жилым зданиям и помещениям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СанПиН 2.2.1/2.1.1.1076-01</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Гигиенические требования к инсоляции и солнцезащите помещений жилых и общественных зданий и территорий</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СанПиН 4690-88</w:t>
      </w:r>
      <w:r w:rsidRPr="00E12B74">
        <w:rPr>
          <w:rFonts w:ascii="Arial" w:eastAsia="Times New Roman" w:hAnsi="Arial" w:cs="Arial"/>
          <w:color w:val="5A5A5A"/>
          <w:sz w:val="18"/>
          <w:lang w:eastAsia="ru-RU"/>
        </w:rPr>
        <w:t> </w:t>
      </w:r>
      <w:r w:rsidRPr="00E12B74">
        <w:rPr>
          <w:rFonts w:ascii="Arial" w:eastAsia="Times New Roman" w:hAnsi="Arial" w:cs="Arial"/>
          <w:color w:val="5A5A5A"/>
          <w:sz w:val="18"/>
          <w:szCs w:val="18"/>
          <w:lang w:eastAsia="ru-RU"/>
        </w:rPr>
        <w:t>Санитарные правила содержания территорий населенных мест</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Инструкция о проведении учета жилищного фонда в Российской Федерации</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ПРИЛОЖЕНИЕ Б</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ТЕРМИНЫ И ОПРЕДЕЛЕНИЯ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8"/>
        <w:gridCol w:w="10987"/>
      </w:tblGrid>
      <w:tr w:rsidR="00E12B74" w:rsidRPr="00E12B74" w:rsidTr="00E12B74">
        <w:trPr>
          <w:tblCellSpacing w:w="0" w:type="dxa"/>
          <w:jc w:val="center"/>
        </w:trPr>
        <w:tc>
          <w:tcPr>
            <w:tcW w:w="1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Термин</w:t>
            </w:r>
          </w:p>
        </w:tc>
        <w:tc>
          <w:tcPr>
            <w:tcW w:w="3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Определение</w:t>
            </w:r>
          </w:p>
        </w:tc>
      </w:tr>
      <w:tr w:rsidR="00E12B74" w:rsidRPr="00E12B74" w:rsidTr="00E12B74">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1 Здание, участок</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 Жилое здание многоквартирное, в том числе: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Жилое здание, в котором квартиры имеют общие внеквартирные помещения и инженерные системы</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1.1а Жилое здание секционного типа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1.1б Жилое здание галерейного типа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Здание, в котором все квартиры этажа имеют выходы через общую галерею не менее чем на две лестницы</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1.1в Жилое здание коридорного типа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Здание, в котором все квартиры этажа имеют выходы через общий коридор не менее чем на две лестницы</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1.1г Блокированный жилой дом</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Здание, состоящее из двух квартир и более, каждая из которых имеет непосредственно выход на приквартирный участок</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Примечание</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 В данном документе - кроме блокированных жилых домов, состоящих из автономных жилых блоков, проектируемых по СНиП 31-02</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1.2 Приквартирный участок</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Земельный участок, примыкающий к жилому зданию (квартире) с непосредственным выходом на него</w:t>
            </w:r>
          </w:p>
        </w:tc>
      </w:tr>
      <w:tr w:rsidR="00E12B74" w:rsidRPr="00E12B74" w:rsidTr="00E12B74">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2 Этажи</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2.1 Этаж надземный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 с отметкой пола помещений не ниже планировочной отметки земли</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2.2 Этаж подземный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 с отметкой пола помещений ниже планировочной отметки земли на всю высоту помещений</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2.3 Этаж первый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Нижний надземный этаж здания</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2.4 Этаж цокольный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 с отметкой пола помещений ниже планировочной отметки земли на высоту не более половины высоты помещений</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2.5 Этаж подвальный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 с отметкой пола помещений ниже планировочной отметки земли более чем наполовину высоты помещений или первый подземный этаж</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2.6 Этаж мансардный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2.7 Этаж технический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2.8 Планировочная отметка земли</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Уровень земли на границе земли и отмостки здания</w:t>
            </w:r>
          </w:p>
        </w:tc>
      </w:tr>
      <w:tr w:rsidR="00E12B74" w:rsidRPr="00E12B74" w:rsidTr="00E12B74">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3 Помещения, площадки</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3.1 Балкон</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Выступающая из плоскости стены фасада огражденная площадка. Может быть остекленным</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3.2 Веранда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Застекленное неотапливаемое помещение, пристроенное к зданию или встроенное в него, не имеющее ограничения по глубине</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3.3 Лоджия</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3.4 Терраса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3.5 Лифтовой холл</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 перед входом в лифты</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3.6 Тамбур</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3.7 Световой карман</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3.8 Подполье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 СНиП 31-02</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lastRenderedPageBreak/>
              <w:t>3.9 Подполье проветриваемое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Открытое пространство под зданием между поверхностью грунта и перекрытием первого надземного этажа</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3.10 Чердак</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3.11 Хозяйственная кладовая (внеквартирная)</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3.12 Автостоянка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 СНиП 31-02</w:t>
            </w:r>
          </w:p>
        </w:tc>
      </w:tr>
      <w:tr w:rsidR="00E12B74" w:rsidRPr="00E12B74" w:rsidTr="00E12B74">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3.13 Антресоль</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Площадка в объеме двусветного помещения, площадью не более 40 % 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r>
      <w:tr w:rsidR="00E12B74" w:rsidRPr="00E12B74" w:rsidTr="00E12B74">
        <w:trPr>
          <w:tblCellSpacing w:w="0" w:type="dxa"/>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3.14 Помещения общественного назначения</w:t>
            </w:r>
          </w:p>
        </w:tc>
        <w:tc>
          <w:tcPr>
            <w:tcW w:w="3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tc>
      </w:tr>
    </w:tbl>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ПРИЛОЖЕНИЕ В</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ПРАВИЛА ОПРЕДЕЛЕНИЯ ПЛОЩАДИ ПОМЕЩЕНИЙ, ПЛОЩАДИ ЗАСТРОЙКИ И ЭТАЖНОСТИ ЗДАНИЯ ПРИ ПРОЕКТИРОВАНИИ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В.1</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Площадь, занимаемая печью, в том числе печью с камином, которые входят в отопительную систему здания, а не являются декоративными, в площадь помещений не включаются.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В.2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Площадь открытых помещений (балконов, лоджий, террас) следует определять по их размерам, измеряемым по внутреннему контуру (между стеной здания и ограждением) открытого помещения без учета площади, занятой ограждением.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В.3</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Площадь размещаемых в объеме жилого здания помещений общественного назначения подсчитывается по правилам, установленным в СНиП 2.08.02.</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В.4</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опорах, а также проезды под ним включаются в площадь застройки.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b/>
          <w:bCs/>
          <w:color w:val="5A5A5A"/>
          <w:sz w:val="18"/>
          <w:lang w:eastAsia="ru-RU"/>
        </w:rPr>
        <w:t>В.5</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 определении этажности здания для расчета числа лифтов технический этаж, расположенный над верхним этажом, не учитывается.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Arial" w:eastAsia="Times New Roman" w:hAnsi="Arial" w:cs="Arial"/>
          <w:color w:val="5A5A5A"/>
          <w:sz w:val="18"/>
          <w:szCs w:val="18"/>
          <w:lang w:eastAsia="ru-RU"/>
        </w:rPr>
        <w:t>Примечания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 Площадь квартиры и другие технические показатели, подсчитываемые для целей статистического учета и технической инвентаризации, определяются по правилам, установленным в «Инструкции о проведении учета жилищного фонда в Российской Федерации».</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 Правила определения площади жилого здания, его этажности и строительного объема, не являющиеся техническими показателями, переносятся в Свод правил по архитектурно-планировочным решениям жилых зданий.</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ПРИЛОЖЕНИЕ Г</w:t>
      </w:r>
    </w:p>
    <w:p w:rsidR="00E12B74" w:rsidRPr="00E12B74" w:rsidRDefault="00E12B74" w:rsidP="00E12B74">
      <w:pPr>
        <w:spacing w:before="225" w:after="150" w:line="240" w:lineRule="auto"/>
        <w:outlineLvl w:val="0"/>
        <w:rPr>
          <w:rFonts w:ascii="Arial" w:eastAsia="Times New Roman" w:hAnsi="Arial" w:cs="Arial"/>
          <w:b/>
          <w:bCs/>
          <w:color w:val="F04B09"/>
          <w:kern w:val="36"/>
          <w:sz w:val="21"/>
          <w:szCs w:val="21"/>
          <w:lang w:eastAsia="ru-RU"/>
        </w:rPr>
      </w:pPr>
      <w:r w:rsidRPr="00E12B74">
        <w:rPr>
          <w:rFonts w:ascii="Arial" w:eastAsia="Times New Roman" w:hAnsi="Arial" w:cs="Arial"/>
          <w:b/>
          <w:bCs/>
          <w:color w:val="F04B09"/>
          <w:kern w:val="36"/>
          <w:sz w:val="21"/>
          <w:szCs w:val="21"/>
          <w:lang w:eastAsia="ru-RU"/>
        </w:rPr>
        <w:t>МИНИМАЛЬНОЕ ЧИСЛО ПАССАЖИРСКИХ ЛИФТОВ</w:t>
      </w:r>
    </w:p>
    <w:tbl>
      <w:tblPr>
        <w:tblW w:w="5000" w:type="pct"/>
        <w:jc w:val="center"/>
        <w:tblCellSpacing w:w="0" w:type="dxa"/>
        <w:shd w:val="clear" w:color="auto" w:fill="FFFFFF"/>
        <w:tblCellMar>
          <w:left w:w="0" w:type="dxa"/>
          <w:right w:w="0" w:type="dxa"/>
        </w:tblCellMar>
        <w:tblLook w:val="04A0"/>
      </w:tblPr>
      <w:tblGrid>
        <w:gridCol w:w="2939"/>
        <w:gridCol w:w="2631"/>
        <w:gridCol w:w="3405"/>
        <w:gridCol w:w="2631"/>
        <w:gridCol w:w="3869"/>
      </w:tblGrid>
      <w:tr w:rsidR="00E12B74" w:rsidRPr="00E12B74" w:rsidTr="00E12B74">
        <w:trPr>
          <w:tblCellSpacing w:w="0" w:type="dxa"/>
          <w:jc w:val="center"/>
        </w:trPr>
        <w:tc>
          <w:tcPr>
            <w:tcW w:w="9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Этажность здания</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Число лифтов</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Грузоподъемность, кг</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Скорость, м/с</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Наибольшая поэтажная площадь квартир, м</w:t>
            </w:r>
            <w:r w:rsidRPr="00E12B74">
              <w:rPr>
                <w:rFonts w:ascii="Times" w:eastAsia="Times New Roman" w:hAnsi="Times" w:cs="Arial"/>
                <w:color w:val="5A5A5A"/>
                <w:sz w:val="18"/>
                <w:szCs w:val="18"/>
                <w:vertAlign w:val="superscript"/>
                <w:lang w:eastAsia="ru-RU"/>
              </w:rPr>
              <w:t>2</w:t>
            </w:r>
          </w:p>
        </w:tc>
      </w:tr>
      <w:tr w:rsidR="00E12B74" w:rsidRPr="00E12B74" w:rsidTr="00E12B74">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До 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600</w:t>
            </w:r>
          </w:p>
        </w:tc>
      </w:tr>
      <w:tr w:rsidR="00E12B74" w:rsidRPr="00E12B74" w:rsidTr="00E12B74">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10 - 12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600</w:t>
            </w:r>
          </w:p>
        </w:tc>
      </w:tr>
      <w:tr w:rsidR="00E12B74" w:rsidRPr="00E12B74" w:rsidTr="00E12B74">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13 - 17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450</w:t>
            </w:r>
          </w:p>
        </w:tc>
      </w:tr>
      <w:tr w:rsidR="00E12B74" w:rsidRPr="00E12B74" w:rsidTr="00E12B74">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18 - 19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450</w:t>
            </w:r>
          </w:p>
        </w:tc>
      </w:tr>
      <w:tr w:rsidR="00E12B74" w:rsidRPr="00E12B74" w:rsidTr="00E12B74">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20 - 25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350</w:t>
            </w:r>
          </w:p>
        </w:tc>
      </w:tr>
      <w:tr w:rsidR="00E12B74" w:rsidRPr="00E12B74" w:rsidTr="00E12B74">
        <w:trPr>
          <w:tblCellSpacing w:w="0" w:type="dxa"/>
          <w:jc w:val="center"/>
        </w:trPr>
        <w:tc>
          <w:tcPr>
            <w:tcW w:w="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20 - 25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630 или 1000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1,6</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jc w:val="center"/>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450</w:t>
            </w:r>
          </w:p>
        </w:tc>
      </w:tr>
      <w:tr w:rsidR="00E12B74" w:rsidRPr="00E12B74" w:rsidTr="00E12B74">
        <w:trPr>
          <w:tblCellSpacing w:w="0" w:type="dxa"/>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Примечания</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1 Лифты грузоподъемностью 630 или 1000 кг должны иметь габариты кабины</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min</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2100</w:t>
            </w:r>
            <w:r w:rsidRPr="00E12B74">
              <w:rPr>
                <w:rFonts w:ascii="ymbol;mso-ascii-font-family:" w:eastAsia="Times New Roman" w:hAnsi="ymbol;mso-ascii-font-family:" w:cs="Arial"/>
                <w:color w:val="5A5A5A"/>
                <w:sz w:val="18"/>
                <w:szCs w:val="18"/>
                <w:lang w:eastAsia="ru-RU"/>
              </w:rPr>
              <w:t>´</w:t>
            </w:r>
            <w:r w:rsidRPr="00E12B74">
              <w:rPr>
                <w:rFonts w:ascii="Times" w:eastAsia="Times New Roman" w:hAnsi="Times" w:cs="Arial"/>
                <w:color w:val="5A5A5A"/>
                <w:sz w:val="18"/>
                <w:szCs w:val="18"/>
                <w:lang w:eastAsia="ru-RU"/>
              </w:rPr>
              <w:t>1100 мм.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2 Таблица составлена из расчета: 18 м</w:t>
            </w:r>
            <w:r w:rsidRPr="00E12B74">
              <w:rPr>
                <w:rFonts w:ascii="Times" w:eastAsia="Times New Roman" w:hAnsi="Times" w:cs="Arial"/>
                <w:color w:val="5A5A5A"/>
                <w:sz w:val="18"/>
                <w:szCs w:val="18"/>
                <w:vertAlign w:val="superscript"/>
                <w:lang w:eastAsia="ru-RU"/>
              </w:rPr>
              <w:t>2</w:t>
            </w:r>
            <w:r w:rsidRPr="00E12B74">
              <w:rPr>
                <w:rFonts w:ascii="Times" w:eastAsia="Times New Roman" w:hAnsi="Times" w:cs="Arial"/>
                <w:color w:val="5A5A5A"/>
                <w:sz w:val="18"/>
                <w:lang w:eastAsia="ru-RU"/>
              </w:rPr>
              <w:t> </w:t>
            </w:r>
            <w:r w:rsidRPr="00E12B74">
              <w:rPr>
                <w:rFonts w:ascii="Times" w:eastAsia="Times New Roman" w:hAnsi="Times" w:cs="Arial"/>
                <w:color w:val="5A5A5A"/>
                <w:sz w:val="18"/>
                <w:szCs w:val="18"/>
                <w:lang w:eastAsia="ru-RU"/>
              </w:rPr>
              <w:t>общей площади квартиры на человека, высота этажа 2,8 м, интервал движения лифтов 81 - 100 с.</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3 В жилых зданиях,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p>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E12B74" w:rsidRPr="00E12B74" w:rsidRDefault="00E12B74" w:rsidP="00E12B74">
      <w:pPr>
        <w:spacing w:before="100" w:beforeAutospacing="1" w:after="100" w:afterAutospacing="1" w:line="240" w:lineRule="auto"/>
        <w:rPr>
          <w:rFonts w:ascii="Arial" w:eastAsia="Times New Roman" w:hAnsi="Arial" w:cs="Arial"/>
          <w:color w:val="5A5A5A"/>
          <w:sz w:val="18"/>
          <w:szCs w:val="18"/>
          <w:lang w:eastAsia="ru-RU"/>
        </w:rPr>
      </w:pPr>
      <w:r w:rsidRPr="00E12B74">
        <w:rPr>
          <w:rFonts w:ascii="Times" w:eastAsia="Times New Roman" w:hAnsi="Times" w:cs="Arial"/>
          <w:color w:val="5A5A5A"/>
          <w:sz w:val="18"/>
          <w:szCs w:val="18"/>
          <w:lang w:eastAsia="ru-RU"/>
        </w:rPr>
        <w:t>Ключевые слова: многоквартирные жилые здания, этажность, пассажирские лифты, первый, цокольный, подвальный, мансардный этажи, пожарная безопасность</w:t>
      </w:r>
    </w:p>
    <w:p w:rsidR="00267109" w:rsidRDefault="00267109"/>
    <w:sectPr w:rsidR="00267109" w:rsidSect="00E12B74">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ymbol;mso-ascii-font-famil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12B74"/>
    <w:rsid w:val="00267109"/>
    <w:rsid w:val="00E12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09"/>
  </w:style>
  <w:style w:type="paragraph" w:styleId="1">
    <w:name w:val="heading 1"/>
    <w:basedOn w:val="a"/>
    <w:link w:val="10"/>
    <w:uiPriority w:val="9"/>
    <w:qFormat/>
    <w:rsid w:val="00E12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2B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B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2B74"/>
    <w:rPr>
      <w:rFonts w:ascii="Times New Roman" w:eastAsia="Times New Roman" w:hAnsi="Times New Roman" w:cs="Times New Roman"/>
      <w:b/>
      <w:bCs/>
      <w:sz w:val="36"/>
      <w:szCs w:val="36"/>
      <w:lang w:eastAsia="ru-RU"/>
    </w:rPr>
  </w:style>
  <w:style w:type="paragraph" w:customStyle="1" w:styleId="textn">
    <w:name w:val="textn"/>
    <w:basedOn w:val="a"/>
    <w:rsid w:val="00E12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12B74"/>
    <w:rPr>
      <w:b/>
      <w:bCs/>
    </w:rPr>
  </w:style>
  <w:style w:type="character" w:customStyle="1" w:styleId="apple-converted-space">
    <w:name w:val="apple-converted-space"/>
    <w:basedOn w:val="a0"/>
    <w:rsid w:val="00E12B74"/>
  </w:style>
  <w:style w:type="paragraph" w:styleId="a4">
    <w:name w:val="Normal (Web)"/>
    <w:basedOn w:val="a"/>
    <w:uiPriority w:val="99"/>
    <w:unhideWhenUsed/>
    <w:rsid w:val="00E12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12B74"/>
    <w:rPr>
      <w:i/>
      <w:iCs/>
    </w:rPr>
  </w:style>
  <w:style w:type="character" w:styleId="a6">
    <w:name w:val="Hyperlink"/>
    <w:basedOn w:val="a0"/>
    <w:uiPriority w:val="99"/>
    <w:semiHidden/>
    <w:unhideWhenUsed/>
    <w:rsid w:val="00E12B74"/>
    <w:rPr>
      <w:color w:val="0000FF"/>
      <w:u w:val="single"/>
    </w:rPr>
  </w:style>
  <w:style w:type="character" w:styleId="a7">
    <w:name w:val="FollowedHyperlink"/>
    <w:basedOn w:val="a0"/>
    <w:uiPriority w:val="99"/>
    <w:semiHidden/>
    <w:unhideWhenUsed/>
    <w:rsid w:val="00E12B74"/>
    <w:rPr>
      <w:color w:val="800080"/>
      <w:u w:val="single"/>
    </w:rPr>
  </w:style>
  <w:style w:type="paragraph" w:styleId="a8">
    <w:name w:val="Balloon Text"/>
    <w:basedOn w:val="a"/>
    <w:link w:val="a9"/>
    <w:uiPriority w:val="99"/>
    <w:semiHidden/>
    <w:unhideWhenUsed/>
    <w:rsid w:val="00E12B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274830">
      <w:bodyDiv w:val="1"/>
      <w:marLeft w:val="0"/>
      <w:marRight w:val="0"/>
      <w:marTop w:val="0"/>
      <w:marBottom w:val="0"/>
      <w:divBdr>
        <w:top w:val="none" w:sz="0" w:space="0" w:color="auto"/>
        <w:left w:val="none" w:sz="0" w:space="0" w:color="auto"/>
        <w:bottom w:val="none" w:sz="0" w:space="0" w:color="auto"/>
        <w:right w:val="none" w:sz="0" w:space="0" w:color="auto"/>
      </w:divBdr>
      <w:divsChild>
        <w:div w:id="167409639">
          <w:marLeft w:val="0"/>
          <w:marRight w:val="0"/>
          <w:marTop w:val="0"/>
          <w:marBottom w:val="0"/>
          <w:divBdr>
            <w:top w:val="none" w:sz="0" w:space="0" w:color="auto"/>
            <w:left w:val="none" w:sz="0" w:space="0" w:color="auto"/>
            <w:bottom w:val="single" w:sz="12" w:space="1" w:color="auto"/>
            <w:right w:val="none" w:sz="0" w:space="0" w:color="auto"/>
          </w:divBdr>
        </w:div>
        <w:div w:id="2008512845">
          <w:marLeft w:val="0"/>
          <w:marRight w:val="0"/>
          <w:marTop w:val="0"/>
          <w:marBottom w:val="0"/>
          <w:divBdr>
            <w:top w:val="none" w:sz="0" w:space="0" w:color="auto"/>
            <w:left w:val="none" w:sz="0" w:space="0" w:color="auto"/>
            <w:bottom w:val="single" w:sz="12" w:space="1" w:color="auto"/>
            <w:right w:val="none" w:sz="0" w:space="0" w:color="auto"/>
          </w:divBdr>
        </w:div>
        <w:div w:id="787164801">
          <w:marLeft w:val="0"/>
          <w:marRight w:val="0"/>
          <w:marTop w:val="0"/>
          <w:marBottom w:val="0"/>
          <w:divBdr>
            <w:top w:val="none" w:sz="0" w:space="0" w:color="auto"/>
            <w:left w:val="none" w:sz="0" w:space="0" w:color="auto"/>
            <w:bottom w:val="single" w:sz="12" w:space="1" w:color="auto"/>
            <w:right w:val="none" w:sz="0" w:space="0" w:color="auto"/>
          </w:divBdr>
        </w:div>
        <w:div w:id="347030812">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hdom.ru/snip/20204-88/" TargetMode="External"/><Relationship Id="rId13" Type="http://schemas.openxmlformats.org/officeDocument/2006/relationships/hyperlink" Target="http://www.vashdom.ru/snip/20802-8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shdom.ru/snip/20203-85/" TargetMode="External"/><Relationship Id="rId12" Type="http://schemas.openxmlformats.org/officeDocument/2006/relationships/hyperlink" Target="http://www.vashdom.ru/snip/20701-89/" TargetMode="External"/><Relationship Id="rId17" Type="http://schemas.openxmlformats.org/officeDocument/2006/relationships/hyperlink" Target="http://www.vashdom.ru/snip/4101-03/" TargetMode="External"/><Relationship Id="rId2" Type="http://schemas.openxmlformats.org/officeDocument/2006/relationships/settings" Target="settings.xml"/><Relationship Id="rId16" Type="http://schemas.openxmlformats.org/officeDocument/2006/relationships/hyperlink" Target="http://www.vashdom.ru/snip/2305-95/" TargetMode="External"/><Relationship Id="rId1" Type="http://schemas.openxmlformats.org/officeDocument/2006/relationships/styles" Target="styles.xml"/><Relationship Id="rId6" Type="http://schemas.openxmlformats.org/officeDocument/2006/relationships/hyperlink" Target="http://www.vashdom.ru/snip/20201-83/" TargetMode="External"/><Relationship Id="rId11" Type="http://schemas.openxmlformats.org/officeDocument/2006/relationships/hyperlink" Target="http://www.vashdom.ru/snip/20402-84/" TargetMode="External"/><Relationship Id="rId5" Type="http://schemas.openxmlformats.org/officeDocument/2006/relationships/hyperlink" Target="http://www.vashdom.ru/snip/20107-85/" TargetMode="External"/><Relationship Id="rId15" Type="http://schemas.openxmlformats.org/officeDocument/2006/relationships/hyperlink" Target="http://www.vashdom.ru/snip/2303-03/" TargetMode="External"/><Relationship Id="rId10" Type="http://schemas.openxmlformats.org/officeDocument/2006/relationships/hyperlink" Target="http://www.vashdom.ru/snip/20401-85/"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vashdom.ru/snip/20311-85/" TargetMode="External"/><Relationship Id="rId14" Type="http://schemas.openxmlformats.org/officeDocument/2006/relationships/hyperlink" Target="http://www.vashdom.ru/snip/21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11797</Words>
  <Characters>67249</Characters>
  <Application>Microsoft Office Word</Application>
  <DocSecurity>0</DocSecurity>
  <Lines>560</Lines>
  <Paragraphs>157</Paragraphs>
  <ScaleCrop>false</ScaleCrop>
  <Company>1</Company>
  <LinksUpToDate>false</LinksUpToDate>
  <CharactersWithSpaces>78889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2012-07-17T15:48:00Z</dcterms:created>
  <dcterms:modified xsi:type="dcterms:W3CDTF">2012-07-17T15:49:00Z</dcterms:modified>
</cp:coreProperties>
</file>